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ind w:firstLine="0" w:firstLineChars="0"/>
        <w:jc w:val="center"/>
        <w:rPr>
          <w:rFonts w:ascii="黑体" w:hAnsi="黑体" w:eastAsia="黑体"/>
          <w:sz w:val="48"/>
          <w:szCs w:val="48"/>
        </w:rPr>
      </w:pPr>
    </w:p>
    <w:p>
      <w:pPr>
        <w:ind w:firstLine="0" w:firstLineChars="0"/>
        <w:jc w:val="center"/>
        <w:rPr>
          <w:rFonts w:ascii="黑体" w:hAnsi="黑体" w:eastAsia="黑体"/>
          <w:b/>
          <w:sz w:val="48"/>
          <w:szCs w:val="48"/>
        </w:rPr>
      </w:pPr>
      <w:r>
        <w:rPr>
          <w:rFonts w:hint="eastAsia" w:ascii="黑体" w:hAnsi="黑体" w:eastAsia="黑体"/>
          <w:b/>
          <w:sz w:val="48"/>
          <w:szCs w:val="48"/>
        </w:rPr>
        <w:t>海南省危险化学品生产安全</w:t>
      </w:r>
    </w:p>
    <w:p>
      <w:pPr>
        <w:ind w:firstLine="0" w:firstLineChars="0"/>
        <w:jc w:val="center"/>
        <w:rPr>
          <w:rFonts w:ascii="黑体" w:hAnsi="黑体" w:eastAsia="黑体"/>
          <w:b/>
          <w:sz w:val="48"/>
          <w:szCs w:val="48"/>
        </w:rPr>
      </w:pPr>
      <w:r>
        <w:rPr>
          <w:rFonts w:hint="eastAsia" w:ascii="黑体" w:hAnsi="黑体" w:eastAsia="黑体"/>
          <w:b/>
          <w:sz w:val="48"/>
          <w:szCs w:val="48"/>
        </w:rPr>
        <w:t>事故应急预案</w:t>
      </w:r>
    </w:p>
    <w:p>
      <w:pPr>
        <w:ind w:firstLine="720"/>
        <w:jc w:val="center"/>
        <w:rPr>
          <w:rFonts w:ascii="楷体" w:hAnsi="楷体" w:eastAsia="楷体"/>
          <w:sz w:val="36"/>
          <w:szCs w:val="36"/>
        </w:rPr>
      </w:pPr>
    </w:p>
    <w:p>
      <w:pPr>
        <w:ind w:firstLine="0" w:firstLineChars="0"/>
        <w:jc w:val="center"/>
        <w:rPr>
          <w:rFonts w:ascii="楷体" w:hAnsi="楷体" w:eastAsia="楷体"/>
          <w:sz w:val="36"/>
          <w:szCs w:val="36"/>
        </w:rPr>
      </w:pPr>
      <w:r>
        <w:rPr>
          <w:rFonts w:hint="eastAsia" w:ascii="楷体" w:hAnsi="楷体" w:eastAsia="楷体"/>
          <w:sz w:val="36"/>
          <w:szCs w:val="36"/>
        </w:rPr>
        <w:t>（2</w:t>
      </w:r>
      <w:r>
        <w:rPr>
          <w:rFonts w:ascii="楷体" w:hAnsi="楷体" w:eastAsia="楷体"/>
          <w:sz w:val="36"/>
          <w:szCs w:val="36"/>
        </w:rPr>
        <w:t>02</w:t>
      </w:r>
      <w:r>
        <w:rPr>
          <w:rFonts w:hint="eastAsia" w:ascii="楷体" w:hAnsi="楷体" w:eastAsia="楷体"/>
          <w:sz w:val="36"/>
          <w:szCs w:val="36"/>
        </w:rPr>
        <w:t>0年修订）</w:t>
      </w:r>
    </w:p>
    <w:p>
      <w:r>
        <w:rPr>
          <w:rFonts w:hint="eastAsia"/>
        </w:rPr>
        <w:t xml:space="preserve"> </w:t>
      </w:r>
      <w:r>
        <w:t xml:space="preserve">                 </w:t>
      </w:r>
    </w:p>
    <w:p>
      <w:r>
        <w:rPr>
          <w:rFonts w:hint="eastAsia"/>
        </w:rPr>
        <w:t xml:space="preserve"> </w:t>
      </w:r>
      <w:r>
        <w:t xml:space="preserve">  </w:t>
      </w:r>
    </w:p>
    <w:p/>
    <w:p/>
    <w:p/>
    <w:p/>
    <w:p/>
    <w:p/>
    <w:p/>
    <w:p/>
    <w:p/>
    <w:p/>
    <w:p>
      <w:pPr>
        <w:ind w:firstLine="0" w:firstLineChars="0"/>
        <w:jc w:val="center"/>
        <w:rPr>
          <w:b/>
        </w:rPr>
      </w:pPr>
      <w:r>
        <w:rPr>
          <w:rFonts w:hint="eastAsia"/>
          <w:b/>
        </w:rPr>
        <w:t xml:space="preserve"> 省安全生产委员会办公室</w:t>
      </w:r>
    </w:p>
    <w:p>
      <w:pPr>
        <w:ind w:firstLine="0" w:firstLineChars="0"/>
        <w:jc w:val="center"/>
        <w:rPr>
          <w:rFonts w:ascii="楷体" w:hAnsi="楷体" w:eastAsia="楷体"/>
        </w:rPr>
      </w:pPr>
      <w:r>
        <w:rPr>
          <w:rFonts w:hint="eastAsia" w:ascii="楷体" w:hAnsi="楷体" w:eastAsia="楷体"/>
          <w:bCs/>
        </w:rPr>
        <w:t>二0二一</w:t>
      </w:r>
      <w:r>
        <w:rPr>
          <w:rFonts w:ascii="楷体" w:hAnsi="楷体" w:eastAsia="楷体"/>
          <w:bCs/>
        </w:rPr>
        <w:t>年</w:t>
      </w:r>
      <w:r>
        <w:rPr>
          <w:rFonts w:hint="eastAsia" w:ascii="楷体" w:hAnsi="楷体" w:eastAsia="楷体"/>
          <w:bCs/>
        </w:rPr>
        <w:t>十二</w:t>
      </w:r>
      <w:r>
        <w:rPr>
          <w:rFonts w:ascii="楷体" w:hAnsi="楷体" w:eastAsia="楷体"/>
          <w:bCs/>
        </w:rPr>
        <w:t>月</w:t>
      </w:r>
    </w:p>
    <w:p/>
    <w:p>
      <w:pPr>
        <w:sectPr>
          <w:headerReference r:id="rId5" w:type="default"/>
          <w:footerReference r:id="rId6" w:type="default"/>
          <w:pgSz w:w="11906" w:h="16838"/>
          <w:pgMar w:top="2098" w:right="1797" w:bottom="1588" w:left="1797" w:header="851" w:footer="992" w:gutter="0"/>
          <w:pgNumType w:fmt="numberInDash"/>
          <w:cols w:space="425" w:num="1"/>
          <w:docGrid w:type="linesAndChars" w:linePitch="312" w:charSpace="0"/>
        </w:sectPr>
      </w:pPr>
    </w:p>
    <w:tbl>
      <w:tblPr>
        <w:tblStyle w:val="31"/>
        <w:tblW w:w="86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5093"/>
        <w:gridCol w:w="2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8647" w:type="dxa"/>
            <w:gridSpan w:val="3"/>
            <w:tcBorders>
              <w:top w:val="thickThinSmallGap" w:color="auto" w:sz="24" w:space="0"/>
              <w:left w:val="thickThinSmallGap" w:color="auto" w:sz="24" w:space="0"/>
              <w:bottom w:val="single" w:color="auto" w:sz="4" w:space="0"/>
              <w:right w:val="thinThickSmallGap" w:color="auto" w:sz="24" w:space="0"/>
            </w:tcBorders>
            <w:vAlign w:val="center"/>
          </w:tcPr>
          <w:p>
            <w:pPr>
              <w:spacing w:line="240" w:lineRule="auto"/>
              <w:ind w:firstLine="0" w:firstLineChars="0"/>
              <w:jc w:val="center"/>
              <w:rPr>
                <w:b/>
                <w:sz w:val="21"/>
                <w:szCs w:val="21"/>
              </w:rPr>
            </w:pPr>
            <w:r>
              <w:rPr>
                <w:rFonts w:hint="eastAsia"/>
                <w:b/>
                <w:sz w:val="21"/>
                <w:szCs w:val="21"/>
              </w:rPr>
              <w:t>海南省部门（单位）简称（只适用于本预案）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b/>
                <w:sz w:val="21"/>
                <w:szCs w:val="21"/>
              </w:rPr>
            </w:pPr>
            <w:r>
              <w:rPr>
                <w:rFonts w:hint="eastAsia"/>
                <w:b/>
                <w:sz w:val="21"/>
                <w:szCs w:val="21"/>
              </w:rPr>
              <w:t>序号</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b/>
                <w:sz w:val="21"/>
                <w:szCs w:val="21"/>
              </w:rPr>
            </w:pPr>
            <w:r>
              <w:rPr>
                <w:rFonts w:hint="eastAsia"/>
                <w:b/>
                <w:sz w:val="21"/>
                <w:szCs w:val="21"/>
              </w:rPr>
              <w:t>部门（单位）名称</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jc w:val="center"/>
              <w:rPr>
                <w:b/>
                <w:sz w:val="21"/>
                <w:szCs w:val="21"/>
              </w:rPr>
            </w:pPr>
            <w:r>
              <w:rPr>
                <w:rFonts w:hint="eastAsia"/>
                <w:b/>
                <w:sz w:val="21"/>
                <w:szCs w:val="21"/>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海南省人民政府办公厅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省人民政府办公厅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中共海南省委宣传部</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中共海南省委网络安全和信息化委员会办公室</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省委网信办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海南省发展和改革委员会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省发改委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海南省旅游和文化广电体育厅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省旅文厅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海南省农业农村厅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省农业农村厅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海南省工业和信息化厅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省工信厅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海南省财政厅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省财政厅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海南省人力资源和社会保障厅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省人社厅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海南省教育厅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海南省卫生健康委员会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海南省公安厅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省公安厅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海南省司法厅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省司法厅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海南省自然资源和规划厅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省资规厅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海南省生态环境厅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省生态环境厅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海南省住房和城乡建设厅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省住建厅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海南省交通运输厅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省交通运输厅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海南省商务厅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省商务厅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海南省科学技术厅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省科技厅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海南省民政厅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省民政厅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海南省水务厅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省水务厅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海南省应急管理厅</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省应急厅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海南省林业局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海南省政府国有资产监督管理委员会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省国资委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海南省市场监督管理局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海南省气象局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海南省地震局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省地震局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中华人民共和国海南海事局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海南海事局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中国民用航空海南安全监督管理局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民航海南安监局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海南省通信管理局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省通管局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31</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海南省大数据管理局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省大数据局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32</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海南省邮政管理局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省邮政管理局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33</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中国银行保险监督管理委员会海南监管局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海南银保监局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34</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海南省总工会</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35</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中国人民武装警察部队海南省总队</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武警海南总队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36</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海南省消防救援总队</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省消防救援总队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37</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中华人民共和国海口海关</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海口海关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38</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南方能监局海南业务办公室</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南方能监局海南业务办公室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39</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广州铁路监督管理局</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广州铁路监督管理局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2" w:type="dxa"/>
            <w:tcBorders>
              <w:top w:val="single" w:color="auto" w:sz="4" w:space="0"/>
              <w:left w:val="thickThinSmallGap" w:color="auto" w:sz="2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40</w:t>
            </w:r>
          </w:p>
        </w:tc>
        <w:tc>
          <w:tcPr>
            <w:tcW w:w="5093"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海南电网有限责任公司</w:t>
            </w:r>
          </w:p>
        </w:tc>
        <w:tc>
          <w:tcPr>
            <w:tcW w:w="2882" w:type="dxa"/>
            <w:tcBorders>
              <w:top w:val="single" w:color="auto" w:sz="4" w:space="0"/>
              <w:left w:val="single" w:color="auto" w:sz="4" w:space="0"/>
              <w:bottom w:val="single" w:color="auto" w:sz="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海南电网公司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 w:hRule="atLeast"/>
          <w:jc w:val="center"/>
        </w:trPr>
        <w:tc>
          <w:tcPr>
            <w:tcW w:w="672" w:type="dxa"/>
            <w:tcBorders>
              <w:top w:val="single" w:color="auto" w:sz="4" w:space="0"/>
              <w:left w:val="thickThinSmallGap" w:color="auto" w:sz="24" w:space="0"/>
              <w:bottom w:val="thinThickSmallGap" w:color="auto" w:sz="24" w:space="0"/>
              <w:right w:val="single" w:color="auto" w:sz="4" w:space="0"/>
            </w:tcBorders>
            <w:vAlign w:val="center"/>
          </w:tcPr>
          <w:p>
            <w:pPr>
              <w:spacing w:line="240" w:lineRule="auto"/>
              <w:ind w:firstLine="0" w:firstLineChars="0"/>
              <w:jc w:val="center"/>
              <w:rPr>
                <w:sz w:val="21"/>
                <w:szCs w:val="21"/>
              </w:rPr>
            </w:pPr>
            <w:r>
              <w:rPr>
                <w:rFonts w:hint="eastAsia"/>
                <w:sz w:val="21"/>
                <w:szCs w:val="21"/>
              </w:rPr>
              <w:t>41</w:t>
            </w:r>
          </w:p>
        </w:tc>
        <w:tc>
          <w:tcPr>
            <w:tcW w:w="5093" w:type="dxa"/>
            <w:tcBorders>
              <w:top w:val="single" w:color="auto" w:sz="4" w:space="0"/>
              <w:left w:val="single" w:color="auto" w:sz="4" w:space="0"/>
              <w:bottom w:val="thinThickSmallGap" w:color="auto" w:sz="24" w:space="0"/>
              <w:right w:val="single" w:color="auto" w:sz="4" w:space="0"/>
            </w:tcBorders>
            <w:vAlign w:val="center"/>
          </w:tcPr>
          <w:p>
            <w:pPr>
              <w:spacing w:line="240" w:lineRule="auto"/>
              <w:ind w:firstLine="0" w:firstLineChars="0"/>
              <w:rPr>
                <w:sz w:val="21"/>
                <w:szCs w:val="21"/>
              </w:rPr>
            </w:pPr>
            <w:r>
              <w:rPr>
                <w:rFonts w:hint="eastAsia"/>
                <w:sz w:val="21"/>
                <w:szCs w:val="21"/>
              </w:rPr>
              <w:t>海南铁路有限公司</w:t>
            </w:r>
          </w:p>
        </w:tc>
        <w:tc>
          <w:tcPr>
            <w:tcW w:w="2882" w:type="dxa"/>
            <w:tcBorders>
              <w:top w:val="single" w:color="auto" w:sz="4" w:space="0"/>
              <w:left w:val="single" w:color="auto" w:sz="4" w:space="0"/>
              <w:bottom w:val="thinThickSmallGap" w:color="auto" w:sz="24" w:space="0"/>
              <w:right w:val="thinThickSmallGap" w:color="auto" w:sz="24" w:space="0"/>
            </w:tcBorders>
            <w:vAlign w:val="center"/>
          </w:tcPr>
          <w:p>
            <w:pPr>
              <w:spacing w:line="240" w:lineRule="auto"/>
              <w:ind w:firstLine="0" w:firstLineChars="0"/>
              <w:rPr>
                <w:sz w:val="21"/>
                <w:szCs w:val="21"/>
              </w:rPr>
            </w:pPr>
            <w:r>
              <w:rPr>
                <w:rFonts w:hint="eastAsia"/>
                <w:sz w:val="21"/>
                <w:szCs w:val="21"/>
              </w:rPr>
              <w:t>海南铁路有限公司</w:t>
            </w:r>
          </w:p>
        </w:tc>
      </w:tr>
    </w:tbl>
    <w:p/>
    <w:p>
      <w:pPr>
        <w:sectPr>
          <w:headerReference r:id="rId7" w:type="default"/>
          <w:pgSz w:w="11906" w:h="16838"/>
          <w:pgMar w:top="720" w:right="720" w:bottom="720" w:left="720" w:header="0" w:footer="0" w:gutter="0"/>
          <w:pgNumType w:fmt="numberInDash"/>
          <w:cols w:space="425" w:num="1"/>
          <w:docGrid w:type="linesAndChars" w:linePitch="326" w:charSpace="0"/>
        </w:sectPr>
      </w:pPr>
    </w:p>
    <w:p>
      <w:pPr>
        <w:pStyle w:val="45"/>
        <w:spacing w:before="0" w:line="360" w:lineRule="auto"/>
        <w:jc w:val="center"/>
        <w:rPr>
          <w:rFonts w:ascii="仿宋" w:hAnsi="仿宋" w:eastAsia="仿宋"/>
          <w:color w:val="auto"/>
          <w:sz w:val="40"/>
          <w:szCs w:val="40"/>
        </w:rPr>
      </w:pPr>
      <w:r>
        <w:rPr>
          <w:rFonts w:ascii="仿宋" w:hAnsi="仿宋" w:eastAsia="仿宋"/>
          <w:color w:val="auto"/>
          <w:sz w:val="40"/>
          <w:szCs w:val="40"/>
          <w:lang w:val="zh-CN"/>
        </w:rPr>
        <w:t>目</w:t>
      </w:r>
      <w:r>
        <w:rPr>
          <w:rFonts w:hint="eastAsia" w:ascii="仿宋" w:hAnsi="仿宋" w:eastAsia="仿宋"/>
          <w:color w:val="auto"/>
          <w:sz w:val="40"/>
          <w:szCs w:val="40"/>
          <w:lang w:val="zh-CN"/>
        </w:rPr>
        <w:t xml:space="preserve">  </w:t>
      </w:r>
      <w:r>
        <w:rPr>
          <w:rFonts w:ascii="仿宋" w:hAnsi="仿宋" w:eastAsia="仿宋"/>
          <w:color w:val="auto"/>
          <w:sz w:val="40"/>
          <w:szCs w:val="40"/>
          <w:lang w:val="zh-CN"/>
        </w:rPr>
        <w:t>录</w:t>
      </w:r>
    </w:p>
    <w:p>
      <w:pPr>
        <w:pStyle w:val="22"/>
        <w:tabs>
          <w:tab w:val="right" w:leader="dot" w:pos="8834"/>
        </w:tabs>
        <w:spacing w:line="360" w:lineRule="auto"/>
        <w:ind w:firstLine="198" w:firstLineChars="71"/>
        <w:rPr>
          <w:rFonts w:ascii="仿宋" w:hAnsi="仿宋"/>
          <w:b w:val="0"/>
          <w:bCs w:val="0"/>
          <w:caps w:val="0"/>
          <w:sz w:val="28"/>
          <w:szCs w:val="28"/>
        </w:rPr>
      </w:pPr>
      <w:r>
        <w:rPr>
          <w:rFonts w:ascii="仿宋" w:hAnsi="仿宋"/>
          <w:b w:val="0"/>
          <w:bCs w:val="0"/>
          <w:caps w:val="0"/>
          <w:sz w:val="28"/>
          <w:szCs w:val="28"/>
        </w:rPr>
        <w:fldChar w:fldCharType="begin"/>
      </w:r>
      <w:r>
        <w:rPr>
          <w:rFonts w:ascii="仿宋" w:hAnsi="仿宋"/>
          <w:b w:val="0"/>
          <w:bCs w:val="0"/>
          <w:caps w:val="0"/>
          <w:sz w:val="28"/>
          <w:szCs w:val="28"/>
        </w:rPr>
        <w:instrText xml:space="preserve"> TOC \o "1-4" \h \z \u </w:instrText>
      </w:r>
      <w:r>
        <w:rPr>
          <w:rFonts w:ascii="仿宋" w:hAnsi="仿宋"/>
          <w:b w:val="0"/>
          <w:bCs w:val="0"/>
          <w:caps w:val="0"/>
          <w:sz w:val="28"/>
          <w:szCs w:val="28"/>
        </w:rPr>
        <w:fldChar w:fldCharType="separate"/>
      </w:r>
      <w:r>
        <w:fldChar w:fldCharType="begin"/>
      </w:r>
      <w:r>
        <w:instrText xml:space="preserve"> HYPERLINK \l "_Toc88516171" </w:instrText>
      </w:r>
      <w:r>
        <w:fldChar w:fldCharType="separate"/>
      </w:r>
      <w:r>
        <w:rPr>
          <w:rStyle w:val="38"/>
          <w:rFonts w:ascii="仿宋" w:hAnsi="仿宋"/>
          <w:sz w:val="28"/>
          <w:szCs w:val="28"/>
        </w:rPr>
        <w:t>1 总  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_Toc88516171 \h </w:instrText>
      </w:r>
      <w:r>
        <w:rPr>
          <w:rFonts w:ascii="仿宋" w:hAnsi="仿宋"/>
          <w:sz w:val="28"/>
          <w:szCs w:val="28"/>
        </w:rPr>
        <w:fldChar w:fldCharType="separate"/>
      </w:r>
      <w:r>
        <w:rPr>
          <w:rFonts w:ascii="仿宋" w:hAnsi="仿宋"/>
          <w:sz w:val="28"/>
          <w:szCs w:val="28"/>
        </w:rPr>
        <w:t>- 1 -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"_Toc88516172" </w:instrText>
      </w:r>
      <w:r>
        <w:fldChar w:fldCharType="separate"/>
      </w:r>
      <w:r>
        <w:rPr>
          <w:rStyle w:val="38"/>
          <w:rFonts w:ascii="仿宋" w:hAnsi="仿宋"/>
          <w:sz w:val="28"/>
          <w:szCs w:val="28"/>
        </w:rPr>
        <w:t>1.1 编制目的</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_Toc88516172 \h </w:instrText>
      </w:r>
      <w:r>
        <w:rPr>
          <w:rFonts w:ascii="仿宋" w:hAnsi="仿宋"/>
          <w:sz w:val="28"/>
          <w:szCs w:val="28"/>
        </w:rPr>
        <w:fldChar w:fldCharType="separate"/>
      </w:r>
      <w:r>
        <w:rPr>
          <w:rFonts w:ascii="仿宋" w:hAnsi="仿宋"/>
          <w:sz w:val="28"/>
          <w:szCs w:val="28"/>
        </w:rPr>
        <w:t>- 1 -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"_Toc88516173" </w:instrText>
      </w:r>
      <w:r>
        <w:fldChar w:fldCharType="separate"/>
      </w:r>
      <w:r>
        <w:rPr>
          <w:rStyle w:val="38"/>
          <w:rFonts w:ascii="仿宋" w:hAnsi="仿宋"/>
          <w:sz w:val="28"/>
          <w:szCs w:val="28"/>
        </w:rPr>
        <w:t>1.2 工作原则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_Toc88516173 \h </w:instrText>
      </w:r>
      <w:r>
        <w:rPr>
          <w:rFonts w:ascii="仿宋" w:hAnsi="仿宋"/>
          <w:sz w:val="28"/>
          <w:szCs w:val="28"/>
        </w:rPr>
        <w:fldChar w:fldCharType="separate"/>
      </w:r>
      <w:r>
        <w:rPr>
          <w:rFonts w:ascii="仿宋" w:hAnsi="仿宋"/>
          <w:sz w:val="28"/>
          <w:szCs w:val="28"/>
        </w:rPr>
        <w:t>- 1 -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"_Toc88516174" </w:instrText>
      </w:r>
      <w:r>
        <w:fldChar w:fldCharType="separate"/>
      </w:r>
      <w:r>
        <w:rPr>
          <w:rStyle w:val="38"/>
          <w:rFonts w:ascii="仿宋" w:hAnsi="仿宋"/>
          <w:sz w:val="28"/>
          <w:szCs w:val="28"/>
        </w:rPr>
        <w:t>1.3 编制依据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_Toc88516174 \h </w:instrText>
      </w:r>
      <w:r>
        <w:rPr>
          <w:rFonts w:ascii="仿宋" w:hAnsi="仿宋"/>
          <w:sz w:val="28"/>
          <w:szCs w:val="28"/>
        </w:rPr>
        <w:fldChar w:fldCharType="separate"/>
      </w:r>
      <w:r>
        <w:rPr>
          <w:rFonts w:ascii="仿宋" w:hAnsi="仿宋"/>
          <w:sz w:val="28"/>
          <w:szCs w:val="28"/>
        </w:rPr>
        <w:t>- 2 -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"_Toc88516175" </w:instrText>
      </w:r>
      <w:r>
        <w:fldChar w:fldCharType="separate"/>
      </w:r>
      <w:r>
        <w:rPr>
          <w:rStyle w:val="38"/>
          <w:rFonts w:ascii="仿宋" w:hAnsi="仿宋"/>
          <w:sz w:val="28"/>
          <w:szCs w:val="28"/>
        </w:rPr>
        <w:t>1.4 适用范围</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_Toc88516175 \h </w:instrText>
      </w:r>
      <w:r>
        <w:rPr>
          <w:rFonts w:ascii="仿宋" w:hAnsi="仿宋"/>
          <w:sz w:val="28"/>
          <w:szCs w:val="28"/>
        </w:rPr>
        <w:fldChar w:fldCharType="separate"/>
      </w:r>
      <w:r>
        <w:rPr>
          <w:rFonts w:ascii="仿宋" w:hAnsi="仿宋"/>
          <w:sz w:val="28"/>
          <w:szCs w:val="28"/>
        </w:rPr>
        <w:t>- 3 -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"_Toc88516176" </w:instrText>
      </w:r>
      <w:r>
        <w:fldChar w:fldCharType="separate"/>
      </w:r>
      <w:r>
        <w:rPr>
          <w:rStyle w:val="38"/>
          <w:rFonts w:ascii="仿宋" w:hAnsi="仿宋"/>
          <w:sz w:val="28"/>
          <w:szCs w:val="28"/>
        </w:rPr>
        <w:t>2 危险性分析</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_Toc88516176 \h </w:instrText>
      </w:r>
      <w:r>
        <w:rPr>
          <w:rFonts w:ascii="仿宋" w:hAnsi="仿宋"/>
          <w:sz w:val="28"/>
          <w:szCs w:val="28"/>
        </w:rPr>
        <w:fldChar w:fldCharType="separate"/>
      </w:r>
      <w:r>
        <w:rPr>
          <w:rFonts w:ascii="仿宋" w:hAnsi="仿宋"/>
          <w:sz w:val="28"/>
          <w:szCs w:val="28"/>
        </w:rPr>
        <w:t>- 4 -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"_Toc88516177" </w:instrText>
      </w:r>
      <w:r>
        <w:fldChar w:fldCharType="separate"/>
      </w:r>
      <w:r>
        <w:rPr>
          <w:rStyle w:val="38"/>
          <w:rFonts w:ascii="仿宋" w:hAnsi="仿宋"/>
          <w:sz w:val="28"/>
          <w:szCs w:val="28"/>
        </w:rPr>
        <w:t>2.1 基本现状</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_Toc88516177 \h </w:instrText>
      </w:r>
      <w:r>
        <w:rPr>
          <w:rFonts w:ascii="仿宋" w:hAnsi="仿宋"/>
          <w:sz w:val="28"/>
          <w:szCs w:val="28"/>
        </w:rPr>
        <w:fldChar w:fldCharType="separate"/>
      </w:r>
      <w:r>
        <w:rPr>
          <w:rFonts w:ascii="仿宋" w:hAnsi="仿宋"/>
          <w:sz w:val="28"/>
          <w:szCs w:val="28"/>
        </w:rPr>
        <w:t>- 4 -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"_Toc88516178" </w:instrText>
      </w:r>
      <w:r>
        <w:fldChar w:fldCharType="separate"/>
      </w:r>
      <w:r>
        <w:rPr>
          <w:rStyle w:val="38"/>
          <w:rFonts w:ascii="仿宋" w:hAnsi="仿宋"/>
          <w:sz w:val="28"/>
          <w:szCs w:val="28"/>
        </w:rPr>
        <w:t>2.2 风险分析</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_Toc88516178 \h </w:instrText>
      </w:r>
      <w:r>
        <w:rPr>
          <w:rFonts w:ascii="仿宋" w:hAnsi="仿宋"/>
          <w:sz w:val="28"/>
          <w:szCs w:val="28"/>
        </w:rPr>
        <w:fldChar w:fldCharType="separate"/>
      </w:r>
      <w:r>
        <w:rPr>
          <w:rFonts w:ascii="仿宋" w:hAnsi="仿宋"/>
          <w:sz w:val="28"/>
          <w:szCs w:val="28"/>
        </w:rPr>
        <w:t>- 4 -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"_Toc88516179" </w:instrText>
      </w:r>
      <w:r>
        <w:fldChar w:fldCharType="separate"/>
      </w:r>
      <w:r>
        <w:rPr>
          <w:rStyle w:val="38"/>
          <w:rFonts w:ascii="仿宋" w:hAnsi="仿宋"/>
          <w:sz w:val="28"/>
          <w:szCs w:val="28"/>
        </w:rPr>
        <w:t>3 组织体系及职责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_Toc88516179 \h </w:instrText>
      </w:r>
      <w:r>
        <w:rPr>
          <w:rFonts w:ascii="仿宋" w:hAnsi="仿宋"/>
          <w:sz w:val="28"/>
          <w:szCs w:val="28"/>
        </w:rPr>
        <w:fldChar w:fldCharType="separate"/>
      </w:r>
      <w:r>
        <w:rPr>
          <w:rFonts w:ascii="仿宋" w:hAnsi="仿宋"/>
          <w:sz w:val="28"/>
          <w:szCs w:val="28"/>
        </w:rPr>
        <w:t>- 5 -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"_Toc88516180" </w:instrText>
      </w:r>
      <w:r>
        <w:fldChar w:fldCharType="separate"/>
      </w:r>
      <w:r>
        <w:rPr>
          <w:rStyle w:val="38"/>
          <w:rFonts w:ascii="仿宋" w:hAnsi="仿宋"/>
          <w:sz w:val="28"/>
          <w:szCs w:val="28"/>
        </w:rPr>
        <w:t>3.1 应急组织机构</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_Toc88516180 \h </w:instrText>
      </w:r>
      <w:r>
        <w:rPr>
          <w:rFonts w:ascii="仿宋" w:hAnsi="仿宋"/>
          <w:sz w:val="28"/>
          <w:szCs w:val="28"/>
        </w:rPr>
        <w:fldChar w:fldCharType="separate"/>
      </w:r>
      <w:r>
        <w:rPr>
          <w:rFonts w:ascii="仿宋" w:hAnsi="仿宋"/>
          <w:sz w:val="28"/>
          <w:szCs w:val="28"/>
        </w:rPr>
        <w:t>- 5 -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"_Toc88516181" </w:instrText>
      </w:r>
      <w:r>
        <w:fldChar w:fldCharType="separate"/>
      </w:r>
      <w:r>
        <w:rPr>
          <w:rStyle w:val="38"/>
          <w:rFonts w:ascii="仿宋" w:hAnsi="仿宋"/>
          <w:sz w:val="28"/>
          <w:szCs w:val="28"/>
        </w:rPr>
        <w:t>3.2 省指挥部</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_Toc88516181 \h </w:instrText>
      </w:r>
      <w:r>
        <w:rPr>
          <w:rFonts w:ascii="仿宋" w:hAnsi="仿宋"/>
          <w:sz w:val="28"/>
          <w:szCs w:val="28"/>
        </w:rPr>
        <w:fldChar w:fldCharType="separate"/>
      </w:r>
      <w:r>
        <w:rPr>
          <w:rFonts w:ascii="仿宋" w:hAnsi="仿宋"/>
          <w:sz w:val="28"/>
          <w:szCs w:val="28"/>
        </w:rPr>
        <w:t>- 7 -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"_Toc88516182" </w:instrText>
      </w:r>
      <w:r>
        <w:fldChar w:fldCharType="separate"/>
      </w:r>
      <w:r>
        <w:rPr>
          <w:rStyle w:val="38"/>
          <w:rFonts w:ascii="仿宋" w:hAnsi="仿宋"/>
          <w:sz w:val="28"/>
          <w:szCs w:val="28"/>
        </w:rPr>
        <w:t>3.3 现场指挥部</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_Toc88516182 \h </w:instrText>
      </w:r>
      <w:r>
        <w:rPr>
          <w:rFonts w:ascii="仿宋" w:hAnsi="仿宋"/>
          <w:sz w:val="28"/>
          <w:szCs w:val="28"/>
        </w:rPr>
        <w:fldChar w:fldCharType="separate"/>
      </w:r>
      <w:r>
        <w:rPr>
          <w:rFonts w:ascii="仿宋" w:hAnsi="仿宋"/>
          <w:sz w:val="28"/>
          <w:szCs w:val="28"/>
        </w:rPr>
        <w:t>- 10 -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"_Toc88516183" </w:instrText>
      </w:r>
      <w:r>
        <w:fldChar w:fldCharType="separate"/>
      </w:r>
      <w:r>
        <w:rPr>
          <w:rStyle w:val="38"/>
          <w:rFonts w:ascii="仿宋" w:hAnsi="仿宋"/>
          <w:sz w:val="28"/>
          <w:szCs w:val="28"/>
        </w:rPr>
        <w:t>3.4 部门职责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_Toc88516183 \h </w:instrText>
      </w:r>
      <w:r>
        <w:rPr>
          <w:rFonts w:ascii="仿宋" w:hAnsi="仿宋"/>
          <w:sz w:val="28"/>
          <w:szCs w:val="28"/>
        </w:rPr>
        <w:fldChar w:fldCharType="separate"/>
      </w:r>
      <w:r>
        <w:rPr>
          <w:rFonts w:ascii="仿宋" w:hAnsi="仿宋"/>
          <w:sz w:val="28"/>
          <w:szCs w:val="28"/>
        </w:rPr>
        <w:t>- 13 -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"_Toc88516184" </w:instrText>
      </w:r>
      <w:r>
        <w:fldChar w:fldCharType="separate"/>
      </w:r>
      <w:r>
        <w:rPr>
          <w:rStyle w:val="38"/>
          <w:rFonts w:ascii="仿宋" w:hAnsi="仿宋"/>
          <w:sz w:val="28"/>
          <w:szCs w:val="28"/>
        </w:rPr>
        <w:t>3.5 应急救援专家</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_Toc88516184 \h </w:instrText>
      </w:r>
      <w:r>
        <w:rPr>
          <w:rFonts w:ascii="仿宋" w:hAnsi="仿宋"/>
          <w:sz w:val="28"/>
          <w:szCs w:val="28"/>
        </w:rPr>
        <w:fldChar w:fldCharType="separate"/>
      </w:r>
      <w:r>
        <w:rPr>
          <w:rFonts w:ascii="仿宋" w:hAnsi="仿宋"/>
          <w:sz w:val="28"/>
          <w:szCs w:val="28"/>
        </w:rPr>
        <w:t>- 13 -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"_Toc88516185" </w:instrText>
      </w:r>
      <w:r>
        <w:fldChar w:fldCharType="separate"/>
      </w:r>
      <w:r>
        <w:rPr>
          <w:rStyle w:val="38"/>
          <w:rFonts w:ascii="仿宋" w:hAnsi="仿宋"/>
          <w:sz w:val="28"/>
          <w:szCs w:val="28"/>
        </w:rPr>
        <w:t>3.6 应急救援队伍</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_Toc88516185 \h </w:instrText>
      </w:r>
      <w:r>
        <w:rPr>
          <w:rFonts w:ascii="仿宋" w:hAnsi="仿宋"/>
          <w:sz w:val="28"/>
          <w:szCs w:val="28"/>
        </w:rPr>
        <w:fldChar w:fldCharType="separate"/>
      </w:r>
      <w:r>
        <w:rPr>
          <w:rFonts w:ascii="仿宋" w:hAnsi="仿宋"/>
          <w:sz w:val="28"/>
          <w:szCs w:val="28"/>
        </w:rPr>
        <w:t>- 13 -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"_Toc88516186" </w:instrText>
      </w:r>
      <w:r>
        <w:fldChar w:fldCharType="separate"/>
      </w:r>
      <w:r>
        <w:rPr>
          <w:rStyle w:val="38"/>
          <w:rFonts w:ascii="仿宋" w:hAnsi="仿宋"/>
          <w:sz w:val="28"/>
          <w:szCs w:val="28"/>
        </w:rPr>
        <w:t>4 预警与信息报告</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_Toc88516186 \h </w:instrText>
      </w:r>
      <w:r>
        <w:rPr>
          <w:rFonts w:ascii="仿宋" w:hAnsi="仿宋"/>
          <w:sz w:val="28"/>
          <w:szCs w:val="28"/>
        </w:rPr>
        <w:fldChar w:fldCharType="separate"/>
      </w:r>
      <w:r>
        <w:rPr>
          <w:rFonts w:ascii="仿宋" w:hAnsi="仿宋"/>
          <w:sz w:val="28"/>
          <w:szCs w:val="28"/>
        </w:rPr>
        <w:t>- 15 -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"_Toc88516187" </w:instrText>
      </w:r>
      <w:r>
        <w:fldChar w:fldCharType="separate"/>
      </w:r>
      <w:r>
        <w:rPr>
          <w:rStyle w:val="38"/>
          <w:rFonts w:ascii="仿宋" w:hAnsi="仿宋"/>
          <w:sz w:val="28"/>
          <w:szCs w:val="28"/>
        </w:rPr>
        <w:t>4.1 监测</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_Toc88516187 \h </w:instrText>
      </w:r>
      <w:r>
        <w:rPr>
          <w:rFonts w:ascii="仿宋" w:hAnsi="仿宋"/>
          <w:sz w:val="28"/>
          <w:szCs w:val="28"/>
        </w:rPr>
        <w:fldChar w:fldCharType="separate"/>
      </w:r>
      <w:r>
        <w:rPr>
          <w:rFonts w:ascii="仿宋" w:hAnsi="仿宋"/>
          <w:sz w:val="28"/>
          <w:szCs w:val="28"/>
        </w:rPr>
        <w:t>- 15 -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"_Toc88516188" </w:instrText>
      </w:r>
      <w:r>
        <w:fldChar w:fldCharType="separate"/>
      </w:r>
      <w:r>
        <w:rPr>
          <w:rStyle w:val="38"/>
          <w:rFonts w:ascii="仿宋" w:hAnsi="仿宋"/>
          <w:sz w:val="28"/>
          <w:szCs w:val="28"/>
        </w:rPr>
        <w:t>4.2 预警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_Toc88516188 \h </w:instrText>
      </w:r>
      <w:r>
        <w:rPr>
          <w:rFonts w:ascii="仿宋" w:hAnsi="仿宋"/>
          <w:sz w:val="28"/>
          <w:szCs w:val="28"/>
        </w:rPr>
        <w:fldChar w:fldCharType="separate"/>
      </w:r>
      <w:r>
        <w:rPr>
          <w:rFonts w:ascii="仿宋" w:hAnsi="仿宋"/>
          <w:sz w:val="28"/>
          <w:szCs w:val="28"/>
        </w:rPr>
        <w:t>- 15 -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"_Toc88516189" </w:instrText>
      </w:r>
      <w:r>
        <w:fldChar w:fldCharType="separate"/>
      </w:r>
      <w:r>
        <w:rPr>
          <w:rStyle w:val="38"/>
          <w:rFonts w:ascii="仿宋" w:hAnsi="仿宋"/>
          <w:sz w:val="28"/>
          <w:szCs w:val="28"/>
        </w:rPr>
        <w:t>4.3 信息上报</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_Toc88516189 \h </w:instrText>
      </w:r>
      <w:r>
        <w:rPr>
          <w:rFonts w:ascii="仿宋" w:hAnsi="仿宋"/>
          <w:sz w:val="28"/>
          <w:szCs w:val="28"/>
        </w:rPr>
        <w:fldChar w:fldCharType="separate"/>
      </w:r>
      <w:r>
        <w:rPr>
          <w:rFonts w:ascii="仿宋" w:hAnsi="仿宋"/>
          <w:sz w:val="28"/>
          <w:szCs w:val="28"/>
        </w:rPr>
        <w:t>- 16 -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"_Toc88516190" </w:instrText>
      </w:r>
      <w:r>
        <w:fldChar w:fldCharType="separate"/>
      </w:r>
      <w:r>
        <w:rPr>
          <w:rStyle w:val="38"/>
          <w:rFonts w:ascii="仿宋" w:hAnsi="仿宋"/>
          <w:sz w:val="28"/>
          <w:szCs w:val="28"/>
        </w:rPr>
        <w:t>5 响应程序</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_Toc88516190 \h </w:instrText>
      </w:r>
      <w:r>
        <w:rPr>
          <w:rFonts w:ascii="仿宋" w:hAnsi="仿宋"/>
          <w:sz w:val="28"/>
          <w:szCs w:val="28"/>
        </w:rPr>
        <w:fldChar w:fldCharType="separate"/>
      </w:r>
      <w:r>
        <w:rPr>
          <w:rFonts w:ascii="仿宋" w:hAnsi="仿宋"/>
          <w:sz w:val="28"/>
          <w:szCs w:val="28"/>
        </w:rPr>
        <w:t>- 16 -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"_Toc88516191" </w:instrText>
      </w:r>
      <w:r>
        <w:fldChar w:fldCharType="separate"/>
      </w:r>
      <w:r>
        <w:rPr>
          <w:rStyle w:val="38"/>
          <w:rFonts w:ascii="仿宋" w:hAnsi="仿宋"/>
          <w:sz w:val="28"/>
          <w:szCs w:val="28"/>
        </w:rPr>
        <w:t>5.1 事故分级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_Toc88516191 \h </w:instrText>
      </w:r>
      <w:r>
        <w:rPr>
          <w:rFonts w:ascii="仿宋" w:hAnsi="仿宋"/>
          <w:sz w:val="28"/>
          <w:szCs w:val="28"/>
        </w:rPr>
        <w:fldChar w:fldCharType="separate"/>
      </w:r>
      <w:r>
        <w:rPr>
          <w:rFonts w:ascii="仿宋" w:hAnsi="仿宋"/>
          <w:sz w:val="28"/>
          <w:szCs w:val="28"/>
        </w:rPr>
        <w:t>- 16 -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"_Toc88516192" </w:instrText>
      </w:r>
      <w:r>
        <w:fldChar w:fldCharType="separate"/>
      </w:r>
      <w:r>
        <w:rPr>
          <w:rStyle w:val="38"/>
          <w:rFonts w:ascii="仿宋" w:hAnsi="仿宋"/>
          <w:sz w:val="28"/>
          <w:szCs w:val="28"/>
        </w:rPr>
        <w:t>5.2 响应分级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_Toc88516192 \h </w:instrText>
      </w:r>
      <w:r>
        <w:rPr>
          <w:rFonts w:ascii="仿宋" w:hAnsi="仿宋"/>
          <w:sz w:val="28"/>
          <w:szCs w:val="28"/>
        </w:rPr>
        <w:fldChar w:fldCharType="separate"/>
      </w:r>
      <w:r>
        <w:rPr>
          <w:rFonts w:ascii="仿宋" w:hAnsi="仿宋"/>
          <w:sz w:val="28"/>
          <w:szCs w:val="28"/>
        </w:rPr>
        <w:t>- 17 -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"_Toc88516193" </w:instrText>
      </w:r>
      <w:r>
        <w:fldChar w:fldCharType="separate"/>
      </w:r>
      <w:r>
        <w:rPr>
          <w:rStyle w:val="38"/>
          <w:rFonts w:ascii="仿宋" w:hAnsi="仿宋"/>
          <w:sz w:val="28"/>
          <w:szCs w:val="28"/>
        </w:rPr>
        <w:t>5.3 应急处置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_Toc88516193 \h </w:instrText>
      </w:r>
      <w:r>
        <w:rPr>
          <w:rFonts w:ascii="仿宋" w:hAnsi="仿宋"/>
          <w:sz w:val="28"/>
          <w:szCs w:val="28"/>
        </w:rPr>
        <w:fldChar w:fldCharType="separate"/>
      </w:r>
      <w:r>
        <w:rPr>
          <w:rFonts w:ascii="仿宋" w:hAnsi="仿宋"/>
          <w:sz w:val="28"/>
          <w:szCs w:val="28"/>
        </w:rPr>
        <w:t>- 18 -</w:t>
      </w:r>
      <w:r>
        <w:rPr>
          <w:rFonts w:ascii="仿宋" w:hAnsi="仿宋"/>
          <w:sz w:val="28"/>
          <w:szCs w:val="28"/>
        </w:rPr>
        <w:fldChar w:fldCharType="end"/>
      </w:r>
      <w:r>
        <w:rPr>
          <w:rFonts w:ascii="仿宋" w:hAnsi="仿宋"/>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"_Toc88516194" </w:instrText>
      </w:r>
      <w:r>
        <w:fldChar w:fldCharType="separate"/>
      </w:r>
      <w:r>
        <w:rPr>
          <w:rStyle w:val="38"/>
          <w:rFonts w:ascii="仿宋" w:hAnsi="仿宋"/>
          <w:i w:val="0"/>
          <w:sz w:val="28"/>
          <w:szCs w:val="28"/>
        </w:rPr>
        <w:t>5.3.1 生产经营单位应急处置</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_Toc88516194 \h </w:instrText>
      </w:r>
      <w:r>
        <w:rPr>
          <w:rFonts w:ascii="仿宋" w:hAnsi="仿宋"/>
          <w:i w:val="0"/>
          <w:sz w:val="28"/>
          <w:szCs w:val="28"/>
        </w:rPr>
        <w:fldChar w:fldCharType="separate"/>
      </w:r>
      <w:r>
        <w:rPr>
          <w:rFonts w:ascii="仿宋" w:hAnsi="仿宋"/>
          <w:i w:val="0"/>
          <w:sz w:val="28"/>
          <w:szCs w:val="28"/>
        </w:rPr>
        <w:t>- 18 -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"_Toc88516195" </w:instrText>
      </w:r>
      <w:r>
        <w:fldChar w:fldCharType="separate"/>
      </w:r>
      <w:r>
        <w:rPr>
          <w:rStyle w:val="38"/>
          <w:rFonts w:ascii="仿宋" w:hAnsi="仿宋"/>
          <w:i w:val="0"/>
          <w:sz w:val="28"/>
          <w:szCs w:val="28"/>
        </w:rPr>
        <w:t>5.3.2 市县人民政府、洋浦经济开发区管委会应急处置</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_Toc88516195 \h </w:instrText>
      </w:r>
      <w:r>
        <w:rPr>
          <w:rFonts w:ascii="仿宋" w:hAnsi="仿宋"/>
          <w:i w:val="0"/>
          <w:sz w:val="28"/>
          <w:szCs w:val="28"/>
        </w:rPr>
        <w:fldChar w:fldCharType="separate"/>
      </w:r>
      <w:r>
        <w:rPr>
          <w:rFonts w:ascii="仿宋" w:hAnsi="仿宋"/>
          <w:i w:val="0"/>
          <w:sz w:val="28"/>
          <w:szCs w:val="28"/>
        </w:rPr>
        <w:t>- 19 -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"_Toc88516196" </w:instrText>
      </w:r>
      <w:r>
        <w:fldChar w:fldCharType="separate"/>
      </w:r>
      <w:r>
        <w:rPr>
          <w:rStyle w:val="38"/>
          <w:rFonts w:ascii="仿宋" w:hAnsi="仿宋"/>
          <w:i w:val="0"/>
          <w:sz w:val="28"/>
          <w:szCs w:val="28"/>
        </w:rPr>
        <w:t>5.3.3 省级应急处置</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_Toc88516196 \h </w:instrText>
      </w:r>
      <w:r>
        <w:rPr>
          <w:rFonts w:ascii="仿宋" w:hAnsi="仿宋"/>
          <w:i w:val="0"/>
          <w:sz w:val="28"/>
          <w:szCs w:val="28"/>
        </w:rPr>
        <w:fldChar w:fldCharType="separate"/>
      </w:r>
      <w:r>
        <w:rPr>
          <w:rFonts w:ascii="仿宋" w:hAnsi="仿宋"/>
          <w:i w:val="0"/>
          <w:sz w:val="28"/>
          <w:szCs w:val="28"/>
        </w:rPr>
        <w:t>- 19 -</w:t>
      </w:r>
      <w:r>
        <w:rPr>
          <w:rFonts w:ascii="仿宋" w:hAnsi="仿宋"/>
          <w:i w:val="0"/>
          <w:sz w:val="28"/>
          <w:szCs w:val="28"/>
        </w:rPr>
        <w:fldChar w:fldCharType="end"/>
      </w:r>
      <w:r>
        <w:rPr>
          <w:rFonts w:ascii="仿宋" w:hAnsi="仿宋"/>
          <w:i w:val="0"/>
          <w:sz w:val="28"/>
          <w:szCs w:val="28"/>
        </w:rPr>
        <w:fldChar w:fldCharType="end"/>
      </w:r>
    </w:p>
    <w:p>
      <w:pPr>
        <w:pStyle w:val="23"/>
        <w:tabs>
          <w:tab w:val="right" w:leader="dot" w:pos="8834"/>
        </w:tabs>
        <w:spacing w:line="360" w:lineRule="auto"/>
        <w:ind w:firstLine="360"/>
        <w:rPr>
          <w:rFonts w:ascii="仿宋" w:hAnsi="仿宋"/>
          <w:sz w:val="28"/>
          <w:szCs w:val="28"/>
        </w:rPr>
      </w:pPr>
      <w:r>
        <w:fldChar w:fldCharType="begin"/>
      </w:r>
      <w:r>
        <w:instrText xml:space="preserve"> HYPERLINK \l "_Toc88516197" </w:instrText>
      </w:r>
      <w:r>
        <w:fldChar w:fldCharType="separate"/>
      </w:r>
      <w:r>
        <w:rPr>
          <w:rStyle w:val="38"/>
          <w:rFonts w:ascii="仿宋" w:hAnsi="仿宋"/>
          <w:sz w:val="28"/>
          <w:szCs w:val="28"/>
        </w:rPr>
        <w:t>5.3.3.1 接警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_Toc88516197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360"/>
        <w:rPr>
          <w:rFonts w:ascii="仿宋" w:hAnsi="仿宋"/>
          <w:sz w:val="28"/>
          <w:szCs w:val="28"/>
        </w:rPr>
      </w:pPr>
      <w:r>
        <w:fldChar w:fldCharType="begin"/>
      </w:r>
      <w:r>
        <w:instrText xml:space="preserve"> HYPERLINK \l "_Toc88516198" </w:instrText>
      </w:r>
      <w:r>
        <w:fldChar w:fldCharType="separate"/>
      </w:r>
      <w:r>
        <w:rPr>
          <w:rStyle w:val="38"/>
          <w:rFonts w:ascii="仿宋" w:hAnsi="仿宋"/>
          <w:sz w:val="28"/>
          <w:szCs w:val="28"/>
        </w:rPr>
        <w:t>5.3.3.2 事故处置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_Toc88516198 \h </w:instrText>
      </w:r>
      <w:r>
        <w:rPr>
          <w:rFonts w:ascii="仿宋" w:hAnsi="仿宋"/>
          <w:sz w:val="28"/>
          <w:szCs w:val="28"/>
        </w:rPr>
        <w:fldChar w:fldCharType="separate"/>
      </w:r>
      <w:r>
        <w:rPr>
          <w:rFonts w:ascii="仿宋" w:hAnsi="仿宋"/>
          <w:sz w:val="28"/>
          <w:szCs w:val="28"/>
        </w:rPr>
        <w:t>- 19 -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360"/>
        <w:rPr>
          <w:rFonts w:ascii="仿宋" w:hAnsi="仿宋"/>
          <w:sz w:val="28"/>
          <w:szCs w:val="28"/>
        </w:rPr>
      </w:pPr>
      <w:r>
        <w:fldChar w:fldCharType="begin"/>
      </w:r>
      <w:r>
        <w:instrText xml:space="preserve"> HYPERLINK \l "_Toc88516199" </w:instrText>
      </w:r>
      <w:r>
        <w:fldChar w:fldCharType="separate"/>
      </w:r>
      <w:r>
        <w:rPr>
          <w:rStyle w:val="38"/>
          <w:rFonts w:ascii="仿宋" w:hAnsi="仿宋"/>
          <w:sz w:val="28"/>
          <w:szCs w:val="28"/>
        </w:rPr>
        <w:t>5.3.3.3 响应升级</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_Toc88516199 \h </w:instrText>
      </w:r>
      <w:r>
        <w:rPr>
          <w:rFonts w:ascii="仿宋" w:hAnsi="仿宋"/>
          <w:sz w:val="28"/>
          <w:szCs w:val="28"/>
        </w:rPr>
        <w:fldChar w:fldCharType="separate"/>
      </w:r>
      <w:r>
        <w:rPr>
          <w:rFonts w:ascii="仿宋" w:hAnsi="仿宋"/>
          <w:sz w:val="28"/>
          <w:szCs w:val="28"/>
        </w:rPr>
        <w:t>- 21 -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360"/>
        <w:rPr>
          <w:rFonts w:ascii="仿宋" w:hAnsi="仿宋"/>
          <w:sz w:val="28"/>
          <w:szCs w:val="28"/>
        </w:rPr>
      </w:pPr>
      <w:r>
        <w:fldChar w:fldCharType="begin"/>
      </w:r>
      <w:r>
        <w:instrText xml:space="preserve"> HYPERLINK \l "_Toc88516200" </w:instrText>
      </w:r>
      <w:r>
        <w:fldChar w:fldCharType="separate"/>
      </w:r>
      <w:r>
        <w:rPr>
          <w:rStyle w:val="38"/>
          <w:rFonts w:ascii="仿宋" w:hAnsi="仿宋"/>
          <w:sz w:val="28"/>
          <w:szCs w:val="28"/>
        </w:rPr>
        <w:t>5.3.3.4 信息发布</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_Toc88516200 \h </w:instrText>
      </w:r>
      <w:r>
        <w:rPr>
          <w:rFonts w:ascii="仿宋" w:hAnsi="仿宋"/>
          <w:sz w:val="28"/>
          <w:szCs w:val="28"/>
        </w:rPr>
        <w:fldChar w:fldCharType="separate"/>
      </w:r>
      <w:r>
        <w:rPr>
          <w:rFonts w:ascii="仿宋" w:hAnsi="仿宋"/>
          <w:sz w:val="28"/>
          <w:szCs w:val="28"/>
        </w:rPr>
        <w:t>- 21 -</w:t>
      </w:r>
      <w:r>
        <w:rPr>
          <w:rFonts w:ascii="仿宋" w:hAnsi="仿宋"/>
          <w:sz w:val="28"/>
          <w:szCs w:val="28"/>
        </w:rPr>
        <w:fldChar w:fldCharType="end"/>
      </w:r>
      <w:r>
        <w:rPr>
          <w:rFonts w:ascii="仿宋" w:hAnsi="仿宋"/>
          <w:sz w:val="28"/>
          <w:szCs w:val="28"/>
        </w:rPr>
        <w:fldChar w:fldCharType="end"/>
      </w:r>
    </w:p>
    <w:p>
      <w:pPr>
        <w:pStyle w:val="23"/>
        <w:tabs>
          <w:tab w:val="right" w:leader="dot" w:pos="8834"/>
        </w:tabs>
        <w:spacing w:line="360" w:lineRule="auto"/>
        <w:ind w:firstLine="360"/>
        <w:rPr>
          <w:rFonts w:ascii="仿宋" w:hAnsi="仿宋"/>
          <w:sz w:val="28"/>
          <w:szCs w:val="28"/>
        </w:rPr>
      </w:pPr>
      <w:r>
        <w:fldChar w:fldCharType="begin"/>
      </w:r>
      <w:r>
        <w:instrText xml:space="preserve"> HYPERLINK \l "_Toc88516201" </w:instrText>
      </w:r>
      <w:r>
        <w:fldChar w:fldCharType="separate"/>
      </w:r>
      <w:r>
        <w:rPr>
          <w:rStyle w:val="38"/>
          <w:rFonts w:ascii="仿宋" w:hAnsi="仿宋"/>
          <w:sz w:val="28"/>
          <w:szCs w:val="28"/>
        </w:rPr>
        <w:t>5.3.3.5 响应降级及结束</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_Toc88516201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"_Toc88516202" </w:instrText>
      </w:r>
      <w:r>
        <w:fldChar w:fldCharType="separate"/>
      </w:r>
      <w:r>
        <w:rPr>
          <w:rStyle w:val="38"/>
          <w:rFonts w:ascii="仿宋" w:hAnsi="仿宋"/>
          <w:sz w:val="28"/>
          <w:szCs w:val="28"/>
        </w:rPr>
        <w:t>6 后期处置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_Toc88516202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"_Toc88516203" </w:instrText>
      </w:r>
      <w:r>
        <w:fldChar w:fldCharType="separate"/>
      </w:r>
      <w:r>
        <w:rPr>
          <w:rStyle w:val="38"/>
          <w:rFonts w:ascii="仿宋" w:hAnsi="仿宋"/>
          <w:sz w:val="28"/>
          <w:szCs w:val="28"/>
        </w:rPr>
        <w:t>6.1 善后处置</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_Toc88516203 \h </w:instrText>
      </w:r>
      <w:r>
        <w:rPr>
          <w:rFonts w:ascii="仿宋" w:hAnsi="仿宋"/>
          <w:sz w:val="28"/>
          <w:szCs w:val="28"/>
        </w:rPr>
        <w:fldChar w:fldCharType="separate"/>
      </w:r>
      <w:r>
        <w:rPr>
          <w:rFonts w:ascii="仿宋" w:hAnsi="仿宋"/>
          <w:sz w:val="28"/>
          <w:szCs w:val="28"/>
        </w:rPr>
        <w:t>- 22 -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"_Toc88516204" </w:instrText>
      </w:r>
      <w:r>
        <w:fldChar w:fldCharType="separate"/>
      </w:r>
      <w:r>
        <w:rPr>
          <w:rStyle w:val="38"/>
          <w:rFonts w:ascii="仿宋" w:hAnsi="仿宋"/>
          <w:sz w:val="28"/>
          <w:szCs w:val="28"/>
        </w:rPr>
        <w:t>6.2 事故调查</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_Toc88516204 \h </w:instrText>
      </w:r>
      <w:r>
        <w:rPr>
          <w:rFonts w:ascii="仿宋" w:hAnsi="仿宋"/>
          <w:sz w:val="28"/>
          <w:szCs w:val="28"/>
        </w:rPr>
        <w:fldChar w:fldCharType="separate"/>
      </w:r>
      <w:r>
        <w:rPr>
          <w:rFonts w:ascii="仿宋" w:hAnsi="仿宋"/>
          <w:sz w:val="28"/>
          <w:szCs w:val="28"/>
        </w:rPr>
        <w:t>- 23 -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"_Toc88516205" </w:instrText>
      </w:r>
      <w:r>
        <w:fldChar w:fldCharType="separate"/>
      </w:r>
      <w:r>
        <w:rPr>
          <w:rStyle w:val="38"/>
          <w:rFonts w:ascii="仿宋" w:hAnsi="仿宋"/>
          <w:sz w:val="28"/>
          <w:szCs w:val="28"/>
        </w:rPr>
        <w:t>6.3 总结评估</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_Toc88516205 \h </w:instrText>
      </w:r>
      <w:r>
        <w:rPr>
          <w:rFonts w:ascii="仿宋" w:hAnsi="仿宋"/>
          <w:sz w:val="28"/>
          <w:szCs w:val="28"/>
        </w:rPr>
        <w:fldChar w:fldCharType="separate"/>
      </w:r>
      <w:r>
        <w:rPr>
          <w:rFonts w:ascii="仿宋" w:hAnsi="仿宋"/>
          <w:sz w:val="28"/>
          <w:szCs w:val="28"/>
        </w:rPr>
        <w:t>- 23 -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"_Toc88516206" </w:instrText>
      </w:r>
      <w:r>
        <w:fldChar w:fldCharType="separate"/>
      </w:r>
      <w:r>
        <w:rPr>
          <w:rStyle w:val="38"/>
          <w:rFonts w:ascii="仿宋" w:hAnsi="仿宋"/>
          <w:sz w:val="28"/>
          <w:szCs w:val="28"/>
        </w:rPr>
        <w:t>7 应急保障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_Toc88516206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"_Toc88516207" </w:instrText>
      </w:r>
      <w:r>
        <w:fldChar w:fldCharType="separate"/>
      </w:r>
      <w:r>
        <w:rPr>
          <w:rStyle w:val="38"/>
          <w:rFonts w:ascii="仿宋" w:hAnsi="仿宋"/>
          <w:sz w:val="28"/>
          <w:szCs w:val="28"/>
        </w:rPr>
        <w:t>7.1 通信与信息保障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_Toc88516207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"_Toc88516208" </w:instrText>
      </w:r>
      <w:r>
        <w:fldChar w:fldCharType="separate"/>
      </w:r>
      <w:r>
        <w:rPr>
          <w:rStyle w:val="38"/>
          <w:rFonts w:ascii="仿宋" w:hAnsi="仿宋"/>
          <w:sz w:val="28"/>
          <w:szCs w:val="28"/>
        </w:rPr>
        <w:t>7.2 应急救援队伍保障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_Toc88516208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"_Toc88516209" </w:instrText>
      </w:r>
      <w:r>
        <w:fldChar w:fldCharType="separate"/>
      </w:r>
      <w:r>
        <w:rPr>
          <w:rStyle w:val="38"/>
          <w:rFonts w:ascii="仿宋" w:hAnsi="仿宋"/>
          <w:sz w:val="28"/>
          <w:szCs w:val="28"/>
        </w:rPr>
        <w:t>7.3 应急物资装备保障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_Toc88516209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"_Toc88516210" </w:instrText>
      </w:r>
      <w:r>
        <w:fldChar w:fldCharType="separate"/>
      </w:r>
      <w:r>
        <w:rPr>
          <w:rStyle w:val="38"/>
          <w:rFonts w:ascii="仿宋" w:hAnsi="仿宋"/>
          <w:sz w:val="28"/>
          <w:szCs w:val="28"/>
        </w:rPr>
        <w:t>7.4 应急治安和交通保障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_Toc88516210 \h </w:instrText>
      </w:r>
      <w:r>
        <w:rPr>
          <w:rFonts w:ascii="仿宋" w:hAnsi="仿宋"/>
          <w:sz w:val="28"/>
          <w:szCs w:val="28"/>
        </w:rPr>
        <w:fldChar w:fldCharType="separate"/>
      </w:r>
      <w:r>
        <w:rPr>
          <w:rFonts w:ascii="仿宋" w:hAnsi="仿宋"/>
          <w:sz w:val="28"/>
          <w:szCs w:val="28"/>
        </w:rPr>
        <w:t>- 24 -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"_Toc88516211" </w:instrText>
      </w:r>
      <w:r>
        <w:fldChar w:fldCharType="separate"/>
      </w:r>
      <w:r>
        <w:rPr>
          <w:rStyle w:val="38"/>
          <w:rFonts w:ascii="仿宋" w:hAnsi="仿宋"/>
          <w:sz w:val="28"/>
          <w:szCs w:val="28"/>
        </w:rPr>
        <w:t>7.5 应急经费保障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_Toc88516211 \h </w:instrText>
      </w:r>
      <w:r>
        <w:rPr>
          <w:rFonts w:ascii="仿宋" w:hAnsi="仿宋"/>
          <w:sz w:val="28"/>
          <w:szCs w:val="28"/>
        </w:rPr>
        <w:fldChar w:fldCharType="separate"/>
      </w:r>
      <w:r>
        <w:rPr>
          <w:rFonts w:ascii="仿宋" w:hAnsi="仿宋"/>
          <w:sz w:val="28"/>
          <w:szCs w:val="28"/>
        </w:rPr>
        <w:t>- 25 -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"_Toc88516212" </w:instrText>
      </w:r>
      <w:r>
        <w:fldChar w:fldCharType="separate"/>
      </w:r>
      <w:r>
        <w:rPr>
          <w:rStyle w:val="38"/>
          <w:rFonts w:ascii="仿宋" w:hAnsi="仿宋"/>
          <w:sz w:val="28"/>
          <w:szCs w:val="28"/>
        </w:rPr>
        <w:t>7.6 应急医疗卫生保障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_Toc88516212 \h </w:instrText>
      </w:r>
      <w:r>
        <w:rPr>
          <w:rFonts w:ascii="仿宋" w:hAnsi="仿宋"/>
          <w:sz w:val="28"/>
          <w:szCs w:val="28"/>
        </w:rPr>
        <w:fldChar w:fldCharType="separate"/>
      </w:r>
      <w:r>
        <w:rPr>
          <w:rFonts w:ascii="仿宋" w:hAnsi="仿宋"/>
          <w:sz w:val="28"/>
          <w:szCs w:val="28"/>
        </w:rPr>
        <w:t>- 25 -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"_Toc88516213" </w:instrText>
      </w:r>
      <w:r>
        <w:fldChar w:fldCharType="separate"/>
      </w:r>
      <w:r>
        <w:rPr>
          <w:rStyle w:val="38"/>
          <w:rFonts w:ascii="仿宋" w:hAnsi="仿宋"/>
          <w:sz w:val="28"/>
          <w:szCs w:val="28"/>
        </w:rPr>
        <w:t>7.7 法律保障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_Toc88516213 \h </w:instrText>
      </w:r>
      <w:r>
        <w:rPr>
          <w:rFonts w:ascii="仿宋" w:hAnsi="仿宋"/>
          <w:sz w:val="28"/>
          <w:szCs w:val="28"/>
        </w:rPr>
        <w:fldChar w:fldCharType="separate"/>
      </w:r>
      <w:r>
        <w:rPr>
          <w:rFonts w:ascii="仿宋" w:hAnsi="仿宋"/>
          <w:sz w:val="28"/>
          <w:szCs w:val="28"/>
        </w:rPr>
        <w:t>- 25 -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"_Toc88516214" </w:instrText>
      </w:r>
      <w:r>
        <w:fldChar w:fldCharType="separate"/>
      </w:r>
      <w:r>
        <w:rPr>
          <w:rStyle w:val="38"/>
          <w:rFonts w:ascii="仿宋" w:hAnsi="仿宋"/>
          <w:sz w:val="28"/>
          <w:szCs w:val="28"/>
        </w:rPr>
        <w:t>7.8 应急避难场所保障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_Toc88516214 \h </w:instrText>
      </w:r>
      <w:r>
        <w:rPr>
          <w:rFonts w:ascii="仿宋" w:hAnsi="仿宋"/>
          <w:sz w:val="28"/>
          <w:szCs w:val="28"/>
        </w:rPr>
        <w:fldChar w:fldCharType="separate"/>
      </w:r>
      <w:r>
        <w:rPr>
          <w:rFonts w:ascii="仿宋" w:hAnsi="仿宋"/>
          <w:sz w:val="28"/>
          <w:szCs w:val="28"/>
        </w:rPr>
        <w:t>- 25 -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"_Toc88516215" </w:instrText>
      </w:r>
      <w:r>
        <w:fldChar w:fldCharType="separate"/>
      </w:r>
      <w:r>
        <w:rPr>
          <w:rStyle w:val="38"/>
          <w:rFonts w:ascii="仿宋" w:hAnsi="仿宋"/>
          <w:sz w:val="28"/>
          <w:szCs w:val="28"/>
        </w:rPr>
        <w:t>7.9 科技支撑保障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_Toc88516215 \h </w:instrText>
      </w:r>
      <w:r>
        <w:rPr>
          <w:rFonts w:ascii="仿宋" w:hAnsi="仿宋"/>
          <w:sz w:val="28"/>
          <w:szCs w:val="28"/>
        </w:rPr>
        <w:fldChar w:fldCharType="separate"/>
      </w:r>
      <w:r>
        <w:rPr>
          <w:rFonts w:ascii="仿宋" w:hAnsi="仿宋"/>
          <w:sz w:val="28"/>
          <w:szCs w:val="28"/>
        </w:rPr>
        <w:t>- 26 -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"_Toc88516216" </w:instrText>
      </w:r>
      <w:r>
        <w:fldChar w:fldCharType="separate"/>
      </w:r>
      <w:r>
        <w:rPr>
          <w:rStyle w:val="38"/>
          <w:rFonts w:ascii="仿宋" w:hAnsi="仿宋"/>
          <w:sz w:val="28"/>
          <w:szCs w:val="28"/>
        </w:rPr>
        <w:t>7.10 电力保障</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_Toc88516216 \h </w:instrText>
      </w:r>
      <w:r>
        <w:rPr>
          <w:rFonts w:ascii="仿宋" w:hAnsi="仿宋"/>
          <w:sz w:val="28"/>
          <w:szCs w:val="28"/>
        </w:rPr>
        <w:fldChar w:fldCharType="separate"/>
      </w:r>
      <w:r>
        <w:rPr>
          <w:rFonts w:ascii="仿宋" w:hAnsi="仿宋"/>
          <w:sz w:val="28"/>
          <w:szCs w:val="28"/>
        </w:rPr>
        <w:t>- 26 -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"_Toc88516217" </w:instrText>
      </w:r>
      <w:r>
        <w:fldChar w:fldCharType="separate"/>
      </w:r>
      <w:r>
        <w:rPr>
          <w:rStyle w:val="38"/>
          <w:rFonts w:ascii="仿宋" w:hAnsi="仿宋"/>
          <w:sz w:val="28"/>
          <w:szCs w:val="28"/>
        </w:rPr>
        <w:t>7.11 保险制度</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_Toc88516217 \h </w:instrText>
      </w:r>
      <w:r>
        <w:rPr>
          <w:rFonts w:ascii="仿宋" w:hAnsi="仿宋"/>
          <w:sz w:val="28"/>
          <w:szCs w:val="28"/>
        </w:rPr>
        <w:fldChar w:fldCharType="separate"/>
      </w:r>
      <w:r>
        <w:rPr>
          <w:rFonts w:ascii="仿宋" w:hAnsi="仿宋"/>
          <w:sz w:val="28"/>
          <w:szCs w:val="28"/>
        </w:rPr>
        <w:t>- 26 -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"_Toc88516218" </w:instrText>
      </w:r>
      <w:r>
        <w:fldChar w:fldCharType="separate"/>
      </w:r>
      <w:r>
        <w:rPr>
          <w:rStyle w:val="38"/>
          <w:rFonts w:ascii="仿宋" w:hAnsi="仿宋"/>
          <w:sz w:val="28"/>
          <w:szCs w:val="28"/>
        </w:rPr>
        <w:t>8 预案管理</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_Toc88516218 \h </w:instrText>
      </w:r>
      <w:r>
        <w:rPr>
          <w:rFonts w:ascii="仿宋" w:hAnsi="仿宋"/>
          <w:sz w:val="28"/>
          <w:szCs w:val="28"/>
        </w:rPr>
        <w:fldChar w:fldCharType="separate"/>
      </w:r>
      <w:r>
        <w:rPr>
          <w:rFonts w:ascii="仿宋" w:hAnsi="仿宋"/>
          <w:sz w:val="28"/>
          <w:szCs w:val="28"/>
        </w:rPr>
        <w:t>- 27 -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"_Toc88516219" </w:instrText>
      </w:r>
      <w:r>
        <w:fldChar w:fldCharType="separate"/>
      </w:r>
      <w:r>
        <w:rPr>
          <w:rStyle w:val="38"/>
          <w:rFonts w:ascii="仿宋" w:hAnsi="仿宋"/>
          <w:sz w:val="28"/>
          <w:szCs w:val="28"/>
        </w:rPr>
        <w:t>8.1 应急演练</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_Toc88516219 \h </w:instrText>
      </w:r>
      <w:r>
        <w:rPr>
          <w:rFonts w:ascii="仿宋" w:hAnsi="仿宋"/>
          <w:sz w:val="28"/>
          <w:szCs w:val="28"/>
        </w:rPr>
        <w:fldChar w:fldCharType="separate"/>
      </w:r>
      <w:r>
        <w:rPr>
          <w:rFonts w:ascii="仿宋" w:hAnsi="仿宋"/>
          <w:sz w:val="28"/>
          <w:szCs w:val="28"/>
        </w:rPr>
        <w:t>- 27 -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"_Toc88516220" </w:instrText>
      </w:r>
      <w:r>
        <w:fldChar w:fldCharType="separate"/>
      </w:r>
      <w:r>
        <w:rPr>
          <w:rStyle w:val="38"/>
          <w:rFonts w:ascii="仿宋" w:hAnsi="仿宋"/>
          <w:sz w:val="28"/>
          <w:szCs w:val="28"/>
        </w:rPr>
        <w:t>8.2 宣传培训</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_Toc88516220 \h </w:instrText>
      </w:r>
      <w:r>
        <w:rPr>
          <w:rFonts w:ascii="仿宋" w:hAnsi="仿宋"/>
          <w:sz w:val="28"/>
          <w:szCs w:val="28"/>
        </w:rPr>
        <w:fldChar w:fldCharType="separate"/>
      </w:r>
      <w:r>
        <w:rPr>
          <w:rFonts w:ascii="仿宋" w:hAnsi="仿宋"/>
          <w:sz w:val="28"/>
          <w:szCs w:val="28"/>
        </w:rPr>
        <w:t>- 27 -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"_Toc88516221" </w:instrText>
      </w:r>
      <w:r>
        <w:fldChar w:fldCharType="separate"/>
      </w:r>
      <w:r>
        <w:rPr>
          <w:rStyle w:val="38"/>
          <w:rFonts w:ascii="仿宋" w:hAnsi="仿宋"/>
          <w:sz w:val="28"/>
          <w:szCs w:val="28"/>
        </w:rPr>
        <w:t>8.3 预案修订</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_Toc88516221 \h </w:instrText>
      </w:r>
      <w:r>
        <w:rPr>
          <w:rFonts w:ascii="仿宋" w:hAnsi="仿宋"/>
          <w:sz w:val="28"/>
          <w:szCs w:val="28"/>
        </w:rPr>
        <w:fldChar w:fldCharType="separate"/>
      </w:r>
      <w:r>
        <w:rPr>
          <w:rFonts w:ascii="仿宋" w:hAnsi="仿宋"/>
          <w:sz w:val="28"/>
          <w:szCs w:val="28"/>
        </w:rPr>
        <w:t>- 27 -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"_Toc88516222" </w:instrText>
      </w:r>
      <w:r>
        <w:fldChar w:fldCharType="separate"/>
      </w:r>
      <w:r>
        <w:rPr>
          <w:rStyle w:val="38"/>
          <w:rFonts w:ascii="仿宋" w:hAnsi="仿宋"/>
          <w:sz w:val="28"/>
          <w:szCs w:val="28"/>
        </w:rPr>
        <w:t>8.4 预案实施</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_Toc88516222 \h </w:instrText>
      </w:r>
      <w:r>
        <w:rPr>
          <w:rFonts w:ascii="仿宋" w:hAnsi="仿宋"/>
          <w:sz w:val="28"/>
          <w:szCs w:val="28"/>
        </w:rPr>
        <w:fldChar w:fldCharType="separate"/>
      </w:r>
      <w:r>
        <w:rPr>
          <w:rFonts w:ascii="仿宋" w:hAnsi="仿宋"/>
          <w:sz w:val="28"/>
          <w:szCs w:val="28"/>
        </w:rPr>
        <w:t>- 28 -</w:t>
      </w:r>
      <w:r>
        <w:rPr>
          <w:rFonts w:ascii="仿宋" w:hAnsi="仿宋"/>
          <w:sz w:val="28"/>
          <w:szCs w:val="28"/>
        </w:rPr>
        <w:fldChar w:fldCharType="end"/>
      </w:r>
      <w:r>
        <w:rPr>
          <w:rFonts w:ascii="仿宋" w:hAnsi="仿宋"/>
          <w:sz w:val="28"/>
          <w:szCs w:val="28"/>
        </w:rPr>
        <w:fldChar w:fldCharType="end"/>
      </w:r>
    </w:p>
    <w:p>
      <w:pPr>
        <w:pStyle w:val="22"/>
        <w:tabs>
          <w:tab w:val="right" w:leader="dot" w:pos="8834"/>
        </w:tabs>
        <w:spacing w:line="360" w:lineRule="auto"/>
        <w:ind w:firstLine="142" w:firstLineChars="71"/>
        <w:rPr>
          <w:rFonts w:ascii="仿宋" w:hAnsi="仿宋"/>
          <w:b w:val="0"/>
          <w:bCs w:val="0"/>
          <w:caps w:val="0"/>
          <w:sz w:val="28"/>
          <w:szCs w:val="28"/>
        </w:rPr>
      </w:pPr>
      <w:r>
        <w:fldChar w:fldCharType="begin"/>
      </w:r>
      <w:r>
        <w:instrText xml:space="preserve"> HYPERLINK \l "_Toc88516223" </w:instrText>
      </w:r>
      <w:r>
        <w:fldChar w:fldCharType="separate"/>
      </w:r>
      <w:r>
        <w:rPr>
          <w:rStyle w:val="38"/>
          <w:rFonts w:ascii="仿宋" w:hAnsi="仿宋"/>
          <w:sz w:val="28"/>
          <w:szCs w:val="28"/>
        </w:rPr>
        <w:t>9 附  则</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_Toc88516223 \h </w:instrText>
      </w:r>
      <w:r>
        <w:rPr>
          <w:rFonts w:ascii="仿宋" w:hAnsi="仿宋"/>
          <w:sz w:val="28"/>
          <w:szCs w:val="28"/>
        </w:rPr>
        <w:fldChar w:fldCharType="separate"/>
      </w:r>
      <w:r>
        <w:rPr>
          <w:rFonts w:ascii="仿宋" w:hAnsi="仿宋"/>
          <w:sz w:val="28"/>
          <w:szCs w:val="28"/>
        </w:rPr>
        <w:t>- 29 -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"_Toc88516224" </w:instrText>
      </w:r>
      <w:r>
        <w:fldChar w:fldCharType="separate"/>
      </w:r>
      <w:r>
        <w:rPr>
          <w:rStyle w:val="38"/>
          <w:rFonts w:ascii="仿宋" w:hAnsi="仿宋"/>
          <w:sz w:val="28"/>
          <w:szCs w:val="28"/>
        </w:rPr>
        <w:t>9.1 海南省危险化学品生产安全事故部门应急职责</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_Toc88516224 \h </w:instrText>
      </w:r>
      <w:r>
        <w:rPr>
          <w:rFonts w:ascii="仿宋" w:hAnsi="仿宋"/>
          <w:sz w:val="28"/>
          <w:szCs w:val="28"/>
        </w:rPr>
        <w:fldChar w:fldCharType="separate"/>
      </w:r>
      <w:r>
        <w:rPr>
          <w:rFonts w:ascii="仿宋" w:hAnsi="仿宋"/>
          <w:sz w:val="28"/>
          <w:szCs w:val="28"/>
        </w:rPr>
        <w:t>- 29 -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"_Toc88516225" </w:instrText>
      </w:r>
      <w:r>
        <w:fldChar w:fldCharType="separate"/>
      </w:r>
      <w:r>
        <w:rPr>
          <w:rStyle w:val="38"/>
          <w:rFonts w:ascii="仿宋" w:hAnsi="仿宋"/>
          <w:sz w:val="28"/>
          <w:szCs w:val="28"/>
        </w:rPr>
        <w:t>9.2 危险化学品预警信息发布工作要求</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_Toc88516225 \h </w:instrText>
      </w:r>
      <w:r>
        <w:rPr>
          <w:rFonts w:ascii="仿宋" w:hAnsi="仿宋"/>
          <w:sz w:val="28"/>
          <w:szCs w:val="28"/>
        </w:rPr>
        <w:fldChar w:fldCharType="separate"/>
      </w:r>
      <w:r>
        <w:rPr>
          <w:rFonts w:ascii="仿宋" w:hAnsi="仿宋"/>
          <w:sz w:val="28"/>
          <w:szCs w:val="28"/>
        </w:rPr>
        <w:t>- 34 -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"_Toc88516226" </w:instrText>
      </w:r>
      <w:r>
        <w:fldChar w:fldCharType="separate"/>
      </w:r>
      <w:r>
        <w:rPr>
          <w:rStyle w:val="38"/>
          <w:rFonts w:ascii="仿宋" w:hAnsi="仿宋"/>
          <w:sz w:val="28"/>
          <w:szCs w:val="28"/>
        </w:rPr>
        <w:t>9.3 消防车资源</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_Toc88516226 \h </w:instrText>
      </w:r>
      <w:r>
        <w:rPr>
          <w:rFonts w:ascii="仿宋" w:hAnsi="仿宋"/>
          <w:sz w:val="28"/>
          <w:szCs w:val="28"/>
        </w:rPr>
        <w:fldChar w:fldCharType="separate"/>
      </w:r>
      <w:r>
        <w:rPr>
          <w:rFonts w:ascii="仿宋" w:hAnsi="仿宋"/>
          <w:sz w:val="28"/>
          <w:szCs w:val="28"/>
        </w:rPr>
        <w:t>- 37 -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"_Toc88516227" </w:instrText>
      </w:r>
      <w:r>
        <w:fldChar w:fldCharType="separate"/>
      </w:r>
      <w:r>
        <w:rPr>
          <w:rStyle w:val="38"/>
          <w:rFonts w:ascii="仿宋" w:hAnsi="仿宋"/>
          <w:sz w:val="28"/>
          <w:szCs w:val="28"/>
        </w:rPr>
        <w:t>9.4 社会志愿者救援队伍</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_Toc88516227 \h </w:instrText>
      </w:r>
      <w:r>
        <w:rPr>
          <w:rFonts w:ascii="仿宋" w:hAnsi="仿宋"/>
          <w:sz w:val="28"/>
          <w:szCs w:val="28"/>
        </w:rPr>
        <w:fldChar w:fldCharType="separate"/>
      </w:r>
      <w:r>
        <w:rPr>
          <w:rFonts w:ascii="仿宋" w:hAnsi="仿宋"/>
          <w:sz w:val="28"/>
          <w:szCs w:val="28"/>
        </w:rPr>
        <w:t>- 43 -</w:t>
      </w:r>
      <w:r>
        <w:rPr>
          <w:rFonts w:ascii="仿宋" w:hAnsi="仿宋"/>
          <w:sz w:val="28"/>
          <w:szCs w:val="28"/>
        </w:rPr>
        <w:fldChar w:fldCharType="end"/>
      </w:r>
      <w:r>
        <w:rPr>
          <w:rFonts w:ascii="仿宋" w:hAnsi="仿宋"/>
          <w:sz w:val="28"/>
          <w:szCs w:val="28"/>
        </w:rPr>
        <w:fldChar w:fldCharType="end"/>
      </w:r>
    </w:p>
    <w:p>
      <w:pPr>
        <w:pStyle w:val="26"/>
        <w:tabs>
          <w:tab w:val="right" w:leader="dot" w:pos="8834"/>
        </w:tabs>
        <w:spacing w:line="360" w:lineRule="auto"/>
        <w:ind w:firstLine="400"/>
        <w:rPr>
          <w:rFonts w:ascii="仿宋" w:hAnsi="仿宋"/>
          <w:smallCaps w:val="0"/>
          <w:sz w:val="28"/>
          <w:szCs w:val="28"/>
        </w:rPr>
      </w:pPr>
      <w:r>
        <w:fldChar w:fldCharType="begin"/>
      </w:r>
      <w:r>
        <w:instrText xml:space="preserve"> HYPERLINK \l "_Toc88516229" </w:instrText>
      </w:r>
      <w:r>
        <w:fldChar w:fldCharType="separate"/>
      </w:r>
      <w:r>
        <w:rPr>
          <w:rStyle w:val="38"/>
          <w:rFonts w:ascii="仿宋" w:hAnsi="仿宋"/>
          <w:sz w:val="28"/>
          <w:szCs w:val="28"/>
        </w:rPr>
        <w:t>9.4 危险化学品现场处置要点</w:t>
      </w:r>
      <w:r>
        <w:rPr>
          <w:rFonts w:ascii="仿宋" w:hAnsi="仿宋"/>
          <w:sz w:val="28"/>
          <w:szCs w:val="28"/>
        </w:rPr>
        <w:tab/>
      </w:r>
      <w:r>
        <w:rPr>
          <w:rFonts w:ascii="仿宋" w:hAnsi="仿宋"/>
          <w:sz w:val="28"/>
          <w:szCs w:val="28"/>
        </w:rPr>
        <w:fldChar w:fldCharType="begin"/>
      </w:r>
      <w:r>
        <w:rPr>
          <w:rFonts w:ascii="仿宋" w:hAnsi="仿宋"/>
          <w:sz w:val="28"/>
          <w:szCs w:val="28"/>
        </w:rPr>
        <w:instrText xml:space="preserve"> PAGEREF _Toc88516229 \h </w:instrText>
      </w:r>
      <w:r>
        <w:rPr>
          <w:rFonts w:ascii="仿宋" w:hAnsi="仿宋"/>
          <w:sz w:val="28"/>
          <w:szCs w:val="28"/>
        </w:rPr>
        <w:fldChar w:fldCharType="separate"/>
      </w:r>
      <w:r>
        <w:rPr>
          <w:rFonts w:ascii="仿宋" w:hAnsi="仿宋"/>
          <w:sz w:val="28"/>
          <w:szCs w:val="28"/>
        </w:rPr>
        <w:t>- 44 -</w:t>
      </w:r>
      <w:r>
        <w:rPr>
          <w:rFonts w:ascii="仿宋" w:hAnsi="仿宋"/>
          <w:sz w:val="28"/>
          <w:szCs w:val="28"/>
        </w:rPr>
        <w:fldChar w:fldCharType="end"/>
      </w:r>
      <w:r>
        <w:rPr>
          <w:rFonts w:ascii="仿宋" w:hAnsi="仿宋"/>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"_Toc88516230" </w:instrText>
      </w:r>
      <w:r>
        <w:fldChar w:fldCharType="separate"/>
      </w:r>
      <w:r>
        <w:rPr>
          <w:rStyle w:val="38"/>
          <w:rFonts w:ascii="仿宋" w:hAnsi="仿宋"/>
          <w:i w:val="0"/>
          <w:sz w:val="28"/>
          <w:szCs w:val="28"/>
        </w:rPr>
        <w:t>9.4.1 危险化学品事故一般处置方案</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_Toc88516230 \h </w:instrText>
      </w:r>
      <w:r>
        <w:rPr>
          <w:rFonts w:ascii="仿宋" w:hAnsi="仿宋"/>
          <w:i w:val="0"/>
          <w:sz w:val="28"/>
          <w:szCs w:val="28"/>
        </w:rPr>
        <w:fldChar w:fldCharType="separate"/>
      </w:r>
      <w:r>
        <w:rPr>
          <w:rFonts w:ascii="仿宋" w:hAnsi="仿宋"/>
          <w:i w:val="0"/>
          <w:sz w:val="28"/>
          <w:szCs w:val="28"/>
        </w:rPr>
        <w:t>- 44 -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"_Toc88516231" </w:instrText>
      </w:r>
      <w:r>
        <w:fldChar w:fldCharType="separate"/>
      </w:r>
      <w:r>
        <w:rPr>
          <w:rStyle w:val="38"/>
          <w:rFonts w:ascii="仿宋" w:hAnsi="仿宋"/>
          <w:i w:val="0"/>
          <w:sz w:val="28"/>
          <w:szCs w:val="28"/>
        </w:rPr>
        <w:t>9.4.2 火灾事故处置方案要点</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_Toc88516231 \h </w:instrText>
      </w:r>
      <w:r>
        <w:rPr>
          <w:rFonts w:ascii="仿宋" w:hAnsi="仿宋"/>
          <w:i w:val="0"/>
          <w:sz w:val="28"/>
          <w:szCs w:val="28"/>
        </w:rPr>
        <w:fldChar w:fldCharType="separate"/>
      </w:r>
      <w:r>
        <w:rPr>
          <w:rFonts w:ascii="仿宋" w:hAnsi="仿宋"/>
          <w:i w:val="0"/>
          <w:sz w:val="28"/>
          <w:szCs w:val="28"/>
        </w:rPr>
        <w:t>- 45 -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"_Toc88516232" </w:instrText>
      </w:r>
      <w:r>
        <w:fldChar w:fldCharType="separate"/>
      </w:r>
      <w:r>
        <w:rPr>
          <w:rStyle w:val="38"/>
          <w:rFonts w:ascii="仿宋" w:hAnsi="仿宋"/>
          <w:i w:val="0"/>
          <w:sz w:val="28"/>
          <w:szCs w:val="28"/>
        </w:rPr>
        <w:t>9.4.3 爆炸事故处置方案要点</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_Toc88516232 \h </w:instrText>
      </w:r>
      <w:r>
        <w:rPr>
          <w:rFonts w:ascii="仿宋" w:hAnsi="仿宋"/>
          <w:i w:val="0"/>
          <w:sz w:val="28"/>
          <w:szCs w:val="28"/>
        </w:rPr>
        <w:fldChar w:fldCharType="separate"/>
      </w:r>
      <w:r>
        <w:rPr>
          <w:rFonts w:ascii="仿宋" w:hAnsi="仿宋"/>
          <w:i w:val="0"/>
          <w:sz w:val="28"/>
          <w:szCs w:val="28"/>
        </w:rPr>
        <w:t>- 46 -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"_Toc88516233" </w:instrText>
      </w:r>
      <w:r>
        <w:fldChar w:fldCharType="separate"/>
      </w:r>
      <w:r>
        <w:rPr>
          <w:rStyle w:val="38"/>
          <w:rFonts w:ascii="仿宋" w:hAnsi="仿宋"/>
          <w:i w:val="0"/>
          <w:sz w:val="28"/>
          <w:szCs w:val="28"/>
        </w:rPr>
        <w:t>9.4.4 易燃、易爆或有毒物质泄漏事故处置方案要点</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_Toc88516233 \h </w:instrText>
      </w:r>
      <w:r>
        <w:rPr>
          <w:rFonts w:ascii="仿宋" w:hAnsi="仿宋"/>
          <w:i w:val="0"/>
          <w:sz w:val="28"/>
          <w:szCs w:val="28"/>
        </w:rPr>
        <w:fldChar w:fldCharType="separate"/>
      </w:r>
      <w:r>
        <w:rPr>
          <w:rFonts w:ascii="仿宋" w:hAnsi="仿宋"/>
          <w:i w:val="0"/>
          <w:sz w:val="28"/>
          <w:szCs w:val="28"/>
        </w:rPr>
        <w:t>- 46 -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pPr>
      <w:r>
        <w:fldChar w:fldCharType="begin"/>
      </w:r>
      <w:r>
        <w:instrText xml:space="preserve"> HYPERLINK \l "_Toc88516234" </w:instrText>
      </w:r>
      <w:r>
        <w:fldChar w:fldCharType="separate"/>
      </w:r>
      <w:r>
        <w:rPr>
          <w:rStyle w:val="38"/>
          <w:rFonts w:ascii="仿宋" w:hAnsi="仿宋"/>
          <w:i w:val="0"/>
          <w:sz w:val="28"/>
          <w:szCs w:val="28"/>
        </w:rPr>
        <w:t>9.4.5 现场人员安全防护</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_Toc88516234 \h </w:instrText>
      </w:r>
      <w:r>
        <w:rPr>
          <w:rFonts w:ascii="仿宋" w:hAnsi="仿宋"/>
          <w:i w:val="0"/>
          <w:sz w:val="28"/>
          <w:szCs w:val="28"/>
        </w:rPr>
        <w:fldChar w:fldCharType="separate"/>
      </w:r>
      <w:r>
        <w:rPr>
          <w:rFonts w:ascii="仿宋" w:hAnsi="仿宋"/>
          <w:i w:val="0"/>
          <w:sz w:val="28"/>
          <w:szCs w:val="28"/>
        </w:rPr>
        <w:t>- 47 -</w:t>
      </w:r>
      <w:r>
        <w:rPr>
          <w:rFonts w:ascii="仿宋" w:hAnsi="仿宋"/>
          <w:i w:val="0"/>
          <w:sz w:val="28"/>
          <w:szCs w:val="28"/>
        </w:rPr>
        <w:fldChar w:fldCharType="end"/>
      </w:r>
      <w:r>
        <w:rPr>
          <w:rFonts w:ascii="仿宋" w:hAnsi="仿宋"/>
          <w:i w:val="0"/>
          <w:sz w:val="28"/>
          <w:szCs w:val="28"/>
        </w:rPr>
        <w:fldChar w:fldCharType="end"/>
      </w:r>
    </w:p>
    <w:p>
      <w:pPr>
        <w:pStyle w:val="14"/>
        <w:tabs>
          <w:tab w:val="right" w:leader="dot" w:pos="8834"/>
        </w:tabs>
        <w:spacing w:line="360" w:lineRule="auto"/>
        <w:ind w:firstLine="400"/>
        <w:rPr>
          <w:rFonts w:ascii="仿宋" w:hAnsi="仿宋"/>
          <w:i w:val="0"/>
          <w:iCs w:val="0"/>
          <w:sz w:val="28"/>
          <w:szCs w:val="28"/>
        </w:rPr>
        <w:sectPr>
          <w:headerReference r:id="rId8" w:type="default"/>
          <w:footerReference r:id="rId9" w:type="default"/>
          <w:pgSz w:w="11906" w:h="16838"/>
          <w:pgMar w:top="1701" w:right="1474" w:bottom="1134" w:left="1588" w:header="851" w:footer="992" w:gutter="0"/>
          <w:pgNumType w:fmt="numberInDash" w:start="1"/>
          <w:cols w:space="425" w:num="1"/>
          <w:docGrid w:type="linesAndChars" w:linePitch="312" w:charSpace="0"/>
        </w:sectPr>
      </w:pPr>
      <w:r>
        <w:fldChar w:fldCharType="begin"/>
      </w:r>
      <w:r>
        <w:instrText xml:space="preserve"> HYPERLINK \l "_Toc88516235" </w:instrText>
      </w:r>
      <w:r>
        <w:fldChar w:fldCharType="separate"/>
      </w:r>
      <w:r>
        <w:rPr>
          <w:rStyle w:val="38"/>
          <w:rFonts w:ascii="仿宋" w:hAnsi="仿宋"/>
          <w:i w:val="0"/>
          <w:sz w:val="28"/>
          <w:szCs w:val="28"/>
        </w:rPr>
        <w:t>9.4.6 事故分析、检测与后果评估</w:t>
      </w:r>
      <w:r>
        <w:rPr>
          <w:rFonts w:ascii="仿宋" w:hAnsi="仿宋"/>
          <w:i w:val="0"/>
          <w:sz w:val="28"/>
          <w:szCs w:val="28"/>
        </w:rPr>
        <w:tab/>
      </w:r>
      <w:r>
        <w:rPr>
          <w:rFonts w:ascii="仿宋" w:hAnsi="仿宋"/>
          <w:i w:val="0"/>
          <w:sz w:val="28"/>
          <w:szCs w:val="28"/>
        </w:rPr>
        <w:fldChar w:fldCharType="begin"/>
      </w:r>
      <w:r>
        <w:rPr>
          <w:rFonts w:ascii="仿宋" w:hAnsi="仿宋"/>
          <w:i w:val="0"/>
          <w:sz w:val="28"/>
          <w:szCs w:val="28"/>
        </w:rPr>
        <w:instrText xml:space="preserve"> PAGEREF _Toc88516235 \h </w:instrText>
      </w:r>
      <w:r>
        <w:rPr>
          <w:rFonts w:ascii="仿宋" w:hAnsi="仿宋"/>
          <w:i w:val="0"/>
          <w:sz w:val="28"/>
          <w:szCs w:val="28"/>
        </w:rPr>
        <w:fldChar w:fldCharType="separate"/>
      </w:r>
      <w:r>
        <w:rPr>
          <w:rFonts w:ascii="仿宋" w:hAnsi="仿宋"/>
          <w:i w:val="0"/>
          <w:sz w:val="28"/>
          <w:szCs w:val="28"/>
        </w:rPr>
        <w:t>- 48 -</w:t>
      </w:r>
      <w:r>
        <w:rPr>
          <w:rFonts w:ascii="仿宋" w:hAnsi="仿宋"/>
          <w:i w:val="0"/>
          <w:sz w:val="28"/>
          <w:szCs w:val="28"/>
        </w:rPr>
        <w:fldChar w:fldCharType="end"/>
      </w:r>
      <w:r>
        <w:rPr>
          <w:rFonts w:ascii="仿宋" w:hAnsi="仿宋"/>
          <w:i w:val="0"/>
          <w:sz w:val="28"/>
          <w:szCs w:val="28"/>
        </w:rPr>
        <w:fldChar w:fldCharType="end"/>
      </w:r>
      <w:r>
        <w:rPr>
          <w:rFonts w:ascii="仿宋" w:hAnsi="仿宋"/>
          <w:b/>
          <w:bCs/>
          <w:caps/>
          <w:sz w:val="28"/>
          <w:szCs w:val="28"/>
        </w:rPr>
        <w:fldChar w:fldCharType="end"/>
      </w:r>
    </w:p>
    <w:p>
      <w:pPr>
        <w:pStyle w:val="2"/>
      </w:pPr>
      <w:bookmarkStart w:id="0" w:name="_Toc35332854"/>
      <w:bookmarkStart w:id="1" w:name="_Toc88516171"/>
      <w:bookmarkStart w:id="2" w:name="_Toc26731434"/>
      <w:r>
        <w:t>1 总</w:t>
      </w:r>
      <w:r>
        <w:rPr>
          <w:rFonts w:hint="eastAsia"/>
        </w:rPr>
        <w:t xml:space="preserve">  </w:t>
      </w:r>
      <w:r>
        <w:t>则</w:t>
      </w:r>
      <w:bookmarkEnd w:id="0"/>
      <w:bookmarkEnd w:id="1"/>
      <w:bookmarkEnd w:id="2"/>
    </w:p>
    <w:p>
      <w:pPr>
        <w:pStyle w:val="3"/>
      </w:pPr>
      <w:bookmarkStart w:id="3" w:name="_Toc88516172"/>
      <w:bookmarkStart w:id="4" w:name="_Toc35332855"/>
      <w:bookmarkStart w:id="5" w:name="_Toc26731435"/>
      <w:r>
        <w:t>1.1 编制目的</w:t>
      </w:r>
      <w:bookmarkEnd w:id="3"/>
      <w:bookmarkEnd w:id="4"/>
      <w:bookmarkEnd w:id="5"/>
    </w:p>
    <w:p>
      <w:pPr>
        <w:ind w:firstLine="594"/>
      </w:pPr>
      <w:r>
        <w:t>为</w:t>
      </w:r>
      <w:r>
        <w:rPr>
          <w:rFonts w:hint="eastAsia"/>
        </w:rPr>
        <w:t>建立健全海南省危险化学品生产安全事故应急救援体系和运行机制，规范危险化学品生产安全事故应急救援程序，提高应急救援反应速度和水平，最大限度降低事故危害程度、人员伤亡和财产损失，预防次生、衍生事故的发生，维护人民群众生命安全和社会稳定，促进经济社会协调健康发展，制定本预案。</w:t>
      </w:r>
    </w:p>
    <w:p>
      <w:pPr>
        <w:pStyle w:val="3"/>
      </w:pPr>
      <w:bookmarkStart w:id="6" w:name="_Toc35332858"/>
      <w:bookmarkStart w:id="7" w:name="_Toc88516173"/>
      <w:bookmarkStart w:id="8" w:name="_Toc26731438"/>
      <w:r>
        <w:t>1.</w:t>
      </w:r>
      <w:r>
        <w:rPr>
          <w:rFonts w:hint="eastAsia"/>
        </w:rPr>
        <w:t>2</w:t>
      </w:r>
      <w:r>
        <w:t xml:space="preserve"> 工作原则</w:t>
      </w:r>
      <w:bookmarkEnd w:id="6"/>
      <w:bookmarkEnd w:id="7"/>
      <w:bookmarkEnd w:id="8"/>
    </w:p>
    <w:p>
      <w:pPr>
        <w:ind w:firstLine="594"/>
      </w:pPr>
      <w:r>
        <w:rPr>
          <w:rFonts w:hint="eastAsia"/>
        </w:rPr>
        <w:t>（</w:t>
      </w:r>
      <w:r>
        <w:t>1）以人为本，安全第一</w:t>
      </w:r>
    </w:p>
    <w:p>
      <w:pPr>
        <w:ind w:firstLine="594"/>
      </w:pPr>
      <w:r>
        <w:rPr>
          <w:rFonts w:hint="eastAsia"/>
        </w:rPr>
        <w:t>把保障人民生命安全作为首要任务，最大程度地预防和减少生产安全事故造成的人员伤亡和财产损失。做好应急救援人员的安全防护工作</w:t>
      </w:r>
      <w:r>
        <w:t>,充分发挥专业救援力量的骨干作用和专家的参与作用。</w:t>
      </w:r>
    </w:p>
    <w:p>
      <w:pPr>
        <w:ind w:firstLine="594"/>
      </w:pPr>
      <w:r>
        <w:rPr>
          <w:rFonts w:hint="eastAsia"/>
        </w:rPr>
        <w:t>（</w:t>
      </w:r>
      <w:r>
        <w:t>2）统一领导，分级负责</w:t>
      </w:r>
    </w:p>
    <w:p>
      <w:pPr>
        <w:ind w:firstLine="594"/>
      </w:pPr>
      <w:r>
        <w:rPr>
          <w:rFonts w:hint="eastAsia"/>
        </w:rPr>
        <w:t>在省人民政府统一领导下，省有关部门和各市县人民政府、洋浦经济开发区管委会等有关部门按照各自职责和权限，开展事故的应急管理和应急处置。建立健全应急机制，做好各级应急预案的衔接，强化落实企业的主体责任。</w:t>
      </w:r>
    </w:p>
    <w:p>
      <w:pPr>
        <w:ind w:firstLine="594"/>
      </w:pPr>
      <w:r>
        <w:rPr>
          <w:rFonts w:hint="eastAsia"/>
        </w:rPr>
        <w:t>（</w:t>
      </w:r>
      <w:r>
        <w:t>3）依靠科学，依法依规</w:t>
      </w:r>
    </w:p>
    <w:p>
      <w:pPr>
        <w:ind w:firstLine="594"/>
      </w:pPr>
      <w:r>
        <w:rPr>
          <w:rFonts w:hint="eastAsia"/>
        </w:rPr>
        <w:t>强化应急管理装备技术支撑，优化整合各类科技资源，推进应急管理科技自主创新，依靠科技提高应急管理的科学化、专业化、智能化、精细化水平。要加大先进适用装备的配备力度，加强关键技术研发，提高突发事件响应和处置能力。以信息化推进应急管理现代化，各行业部门要加强信息化指挥场所的建设，提升应急指挥效率及效能，保证信息系统上报的质量和效率，提高监测预警能力、监管执法能力、辅助指挥决策能力、救援实战能力和社会动员能力。</w:t>
      </w:r>
    </w:p>
    <w:p>
      <w:pPr>
        <w:ind w:firstLine="594"/>
      </w:pPr>
      <w:r>
        <w:rPr>
          <w:rFonts w:hint="eastAsia"/>
        </w:rPr>
        <w:t>（</w:t>
      </w:r>
      <w:r>
        <w:t>4）预防为主，平战结合</w:t>
      </w:r>
    </w:p>
    <w:p>
      <w:pPr>
        <w:ind w:firstLine="594"/>
      </w:pPr>
      <w:r>
        <w:rPr>
          <w:rFonts w:hint="eastAsia"/>
        </w:rPr>
        <w:t>贯彻落实“预防为主”方针，坚持事故应急与预防工作相结合。以常态下的风险评估、物资储备、队伍建设、装备配备、预案编制、应急培训和应急演练等工作为重点，保证个人防护用品的配备及应急物资的常态化监督管理，做好预防、预测、预警工作。</w:t>
      </w:r>
    </w:p>
    <w:p>
      <w:pPr>
        <w:pStyle w:val="3"/>
      </w:pPr>
      <w:bookmarkStart w:id="9" w:name="_Toc88516174"/>
      <w:bookmarkStart w:id="10" w:name="_Toc35332856"/>
      <w:bookmarkStart w:id="11" w:name="_Toc26731436"/>
      <w:r>
        <w:rPr>
          <w:rFonts w:hint="eastAsia"/>
        </w:rPr>
        <w:t>1.3 编制依据</w:t>
      </w:r>
      <w:bookmarkEnd w:id="9"/>
      <w:bookmarkEnd w:id="10"/>
      <w:bookmarkEnd w:id="11"/>
    </w:p>
    <w:p>
      <w:pPr>
        <w:ind w:firstLine="594"/>
      </w:pPr>
      <w:r>
        <w:rPr>
          <w:rFonts w:hint="eastAsia"/>
        </w:rPr>
        <w:t>（1）</w:t>
      </w:r>
      <w:r>
        <w:t>《中华人民共和国安全生产法》</w:t>
      </w:r>
    </w:p>
    <w:p>
      <w:pPr>
        <w:ind w:firstLine="594"/>
      </w:pPr>
      <w:r>
        <w:rPr>
          <w:rFonts w:hint="eastAsia"/>
        </w:rPr>
        <w:t>（2）《中华人民共和国消防法》</w:t>
      </w:r>
    </w:p>
    <w:p>
      <w:pPr>
        <w:ind w:firstLine="594"/>
      </w:pPr>
      <w:r>
        <w:rPr>
          <w:rFonts w:hint="eastAsia"/>
        </w:rPr>
        <w:t>（3）</w:t>
      </w:r>
      <w:r>
        <w:t>《中华人民共和国突发事件应对法》</w:t>
      </w:r>
    </w:p>
    <w:p>
      <w:pPr>
        <w:ind w:firstLine="594"/>
      </w:pPr>
      <w:r>
        <w:rPr>
          <w:rFonts w:hint="eastAsia"/>
        </w:rPr>
        <w:t>（4）</w:t>
      </w:r>
      <w:r>
        <w:t>《生产经营单位生产安全事故应急预案编制导则》</w:t>
      </w:r>
    </w:p>
    <w:p>
      <w:pPr>
        <w:ind w:firstLine="594"/>
      </w:pPr>
      <w:r>
        <w:rPr>
          <w:rFonts w:hint="eastAsia"/>
        </w:rPr>
        <w:t>（</w:t>
      </w:r>
      <w:r>
        <w:t>5</w:t>
      </w:r>
      <w:r>
        <w:rPr>
          <w:rFonts w:hint="eastAsia"/>
        </w:rPr>
        <w:t>）</w:t>
      </w:r>
      <w:r>
        <w:t>《生产安全事故应急条例》</w:t>
      </w:r>
    </w:p>
    <w:p>
      <w:pPr>
        <w:ind w:firstLine="594"/>
      </w:pPr>
      <w:r>
        <w:rPr>
          <w:rFonts w:hint="eastAsia"/>
        </w:rPr>
        <w:t>（</w:t>
      </w:r>
      <w:r>
        <w:t>6</w:t>
      </w:r>
      <w:r>
        <w:rPr>
          <w:rFonts w:hint="eastAsia"/>
        </w:rPr>
        <w:t>）《</w:t>
      </w:r>
      <w:r>
        <w:t>危险化学品安全管理条例</w:t>
      </w:r>
      <w:r>
        <w:rPr>
          <w:rFonts w:hint="eastAsia"/>
        </w:rPr>
        <w:t>》</w:t>
      </w:r>
    </w:p>
    <w:p>
      <w:pPr>
        <w:ind w:firstLine="594"/>
      </w:pPr>
      <w:r>
        <w:rPr>
          <w:rFonts w:hint="eastAsia"/>
        </w:rPr>
        <w:t>（</w:t>
      </w:r>
      <w:r>
        <w:t>7</w:t>
      </w:r>
      <w:r>
        <w:rPr>
          <w:rFonts w:hint="eastAsia"/>
        </w:rPr>
        <w:t>）</w:t>
      </w:r>
      <w:r>
        <w:t>《生产安全事故报告和调查处理条例》</w:t>
      </w:r>
    </w:p>
    <w:p>
      <w:pPr>
        <w:ind w:firstLine="594"/>
      </w:pPr>
      <w:r>
        <w:rPr>
          <w:rFonts w:hint="eastAsia"/>
        </w:rPr>
        <w:t>（8）《突发事件应急预案管理办法》</w:t>
      </w:r>
    </w:p>
    <w:p>
      <w:pPr>
        <w:ind w:firstLine="594"/>
      </w:pPr>
      <w:r>
        <w:rPr>
          <w:rFonts w:hint="eastAsia"/>
        </w:rPr>
        <w:t>（</w:t>
      </w:r>
      <w:r>
        <w:t>9</w:t>
      </w:r>
      <w:r>
        <w:rPr>
          <w:rFonts w:hint="eastAsia"/>
        </w:rPr>
        <w:t>）</w:t>
      </w:r>
      <w:r>
        <w:t>《生产安全事故应急预案管理办法》</w:t>
      </w:r>
    </w:p>
    <w:p>
      <w:pPr>
        <w:ind w:firstLine="594"/>
        <w:rPr>
          <w:rFonts w:hint="eastAsia" w:ascii="microsoft yahei" w:hAnsi="microsoft yahei"/>
          <w:color w:val="000000"/>
          <w:szCs w:val="32"/>
          <w:shd w:val="clear" w:color="auto" w:fill="FFFFFF"/>
        </w:rPr>
      </w:pPr>
      <w:r>
        <w:rPr>
          <w:rFonts w:hint="eastAsia"/>
        </w:rPr>
        <w:t>（</w:t>
      </w:r>
      <w:r>
        <w:t>10</w:t>
      </w:r>
      <w:r>
        <w:rPr>
          <w:rFonts w:hint="eastAsia"/>
        </w:rPr>
        <w:t>）</w:t>
      </w:r>
      <w:r>
        <w:rPr>
          <w:rFonts w:ascii="microsoft yahei" w:hAnsi="microsoft yahei"/>
          <w:color w:val="000000"/>
          <w:szCs w:val="32"/>
          <w:shd w:val="clear" w:color="auto" w:fill="FFFFFF"/>
        </w:rPr>
        <w:t>《海南自由贸易港消防条例》</w:t>
      </w:r>
    </w:p>
    <w:p>
      <w:pPr>
        <w:ind w:firstLine="594"/>
      </w:pPr>
      <w:r>
        <w:rPr>
          <w:rFonts w:hint="eastAsia"/>
        </w:rPr>
        <w:t>（</w:t>
      </w:r>
      <w:r>
        <w:t>11</w:t>
      </w:r>
      <w:r>
        <w:rPr>
          <w:rFonts w:hint="eastAsia"/>
        </w:rPr>
        <w:t>）</w:t>
      </w:r>
      <w:r>
        <w:t>《海南经济特区安全生产条例》</w:t>
      </w:r>
    </w:p>
    <w:p>
      <w:pPr>
        <w:ind w:firstLine="594"/>
      </w:pPr>
      <w:r>
        <w:rPr>
          <w:rFonts w:hint="eastAsia"/>
        </w:rPr>
        <w:t>（1</w:t>
      </w:r>
      <w:r>
        <w:t>2</w:t>
      </w:r>
      <w:r>
        <w:rPr>
          <w:rFonts w:hint="eastAsia"/>
        </w:rPr>
        <w:t>）</w:t>
      </w:r>
      <w:r>
        <w:t>《生产经营单位生产安全事故应急预案编制导则》</w:t>
      </w:r>
    </w:p>
    <w:p>
      <w:pPr>
        <w:ind w:firstLine="594"/>
      </w:pPr>
      <w:r>
        <w:rPr>
          <w:rFonts w:hint="eastAsia"/>
        </w:rPr>
        <w:t>（1</w:t>
      </w:r>
      <w:r>
        <w:t>3</w:t>
      </w:r>
      <w:r>
        <w:rPr>
          <w:rFonts w:hint="eastAsia"/>
        </w:rPr>
        <w:t>）</w:t>
      </w:r>
      <w:r>
        <w:t>《海南省生产安全事故应急预案》</w:t>
      </w:r>
    </w:p>
    <w:p>
      <w:pPr>
        <w:pStyle w:val="3"/>
      </w:pPr>
      <w:bookmarkStart w:id="12" w:name="_Toc88516175"/>
      <w:bookmarkStart w:id="13" w:name="_Toc35332857"/>
      <w:bookmarkStart w:id="14" w:name="_Toc36126130"/>
      <w:bookmarkStart w:id="15" w:name="_Toc26731437"/>
      <w:r>
        <w:rPr>
          <w:rFonts w:hint="eastAsia"/>
        </w:rPr>
        <w:t>1.4 适用范围</w:t>
      </w:r>
      <w:bookmarkEnd w:id="12"/>
      <w:bookmarkEnd w:id="13"/>
      <w:bookmarkEnd w:id="14"/>
      <w:bookmarkEnd w:id="15"/>
    </w:p>
    <w:p>
      <w:pPr>
        <w:ind w:firstLine="594"/>
        <w:rPr>
          <w:rFonts w:cs="仿宋"/>
        </w:rPr>
      </w:pPr>
      <w:r>
        <w:rPr>
          <w:rFonts w:hint="eastAsia"/>
        </w:rPr>
        <w:t>本预案适用于海南省行政区域内生产、储存、使用（城镇燃气除外）、经营、运输、废弃处置危险化学品的过程中发生下列事故的应急准备和应急救援工作：</w:t>
      </w:r>
    </w:p>
    <w:p>
      <w:pPr>
        <w:pStyle w:val="117"/>
        <w:numPr>
          <w:ilvl w:val="0"/>
          <w:numId w:val="1"/>
        </w:numPr>
        <w:ind w:firstLineChars="0"/>
      </w:pPr>
      <w:r>
        <w:rPr>
          <w:rFonts w:hint="eastAsia"/>
        </w:rPr>
        <w:t>重大、特别重大危险化学品生产安全事故；</w:t>
      </w:r>
    </w:p>
    <w:p>
      <w:pPr>
        <w:pStyle w:val="117"/>
        <w:numPr>
          <w:ilvl w:val="0"/>
          <w:numId w:val="1"/>
        </w:numPr>
        <w:ind w:firstLineChars="0"/>
      </w:pPr>
      <w:r>
        <w:rPr>
          <w:rFonts w:hint="eastAsia"/>
        </w:rPr>
        <w:t>超出事发地市县人民政府、洋浦经济开发区管委会处置能力的，或者跨市县行政区、跨多个领域（行业和部门）的危险化学品生产安全事故；</w:t>
      </w:r>
    </w:p>
    <w:p>
      <w:pPr>
        <w:pStyle w:val="117"/>
        <w:numPr>
          <w:ilvl w:val="0"/>
          <w:numId w:val="1"/>
        </w:numPr>
        <w:ind w:firstLineChars="0"/>
      </w:pPr>
      <w:r>
        <w:rPr>
          <w:rFonts w:hint="eastAsia"/>
        </w:rPr>
        <w:t>省人民政府认为有必要响应的危险化学品生产安全事故；</w:t>
      </w:r>
    </w:p>
    <w:p>
      <w:pPr>
        <w:pStyle w:val="117"/>
        <w:numPr>
          <w:ilvl w:val="0"/>
          <w:numId w:val="1"/>
        </w:numPr>
        <w:ind w:firstLineChars="0"/>
      </w:pPr>
      <w:r>
        <w:rPr>
          <w:rFonts w:hint="eastAsia"/>
        </w:rPr>
        <w:t>应急管理部或省人民政府责成处置的危险化学品生产安全事故。</w:t>
      </w:r>
    </w:p>
    <w:p>
      <w:pPr>
        <w:ind w:firstLine="594"/>
      </w:pPr>
      <w:r>
        <w:rPr>
          <w:rFonts w:hint="eastAsia"/>
        </w:rPr>
        <w:t>本预案适用范围之外的省内危险化学品生产安全事故，由市县人民政府、洋浦经济开发区管委会应对处置，省人民政府及省有关部门根据需要进行协调、指导。</w:t>
      </w:r>
    </w:p>
    <w:p>
      <w:pPr>
        <w:pStyle w:val="2"/>
      </w:pPr>
      <w:bookmarkStart w:id="16" w:name="_Toc35332860"/>
      <w:bookmarkStart w:id="17" w:name="_Toc26731440"/>
      <w:bookmarkStart w:id="18" w:name="_Toc88516176"/>
      <w:r>
        <w:t xml:space="preserve">2 </w:t>
      </w:r>
      <w:bookmarkEnd w:id="16"/>
      <w:bookmarkEnd w:id="17"/>
      <w:r>
        <w:rPr>
          <w:rFonts w:hint="eastAsia"/>
        </w:rPr>
        <w:t>危险性分析</w:t>
      </w:r>
      <w:bookmarkEnd w:id="18"/>
    </w:p>
    <w:p>
      <w:pPr>
        <w:pStyle w:val="3"/>
      </w:pPr>
      <w:bookmarkStart w:id="19" w:name="_Toc88516177"/>
      <w:r>
        <w:rPr>
          <w:rFonts w:hint="eastAsia"/>
        </w:rPr>
        <w:t>2</w:t>
      </w:r>
      <w:r>
        <w:t>.</w:t>
      </w:r>
      <w:r>
        <w:rPr>
          <w:rFonts w:hint="eastAsia"/>
        </w:rPr>
        <w:t>1</w:t>
      </w:r>
      <w:r>
        <w:t xml:space="preserve"> </w:t>
      </w:r>
      <w:r>
        <w:rPr>
          <w:rFonts w:hint="eastAsia"/>
        </w:rPr>
        <w:t>基本现状</w:t>
      </w:r>
      <w:bookmarkEnd w:id="19"/>
    </w:p>
    <w:p>
      <w:pPr>
        <w:ind w:firstLine="594"/>
      </w:pPr>
      <w:r>
        <w:rPr>
          <w:rFonts w:hint="eastAsia"/>
        </w:rPr>
        <w:t>全省危险化学品生产企业有22家，主要生产汽柴油、液化石油气、甲醇、芳烃、氨、乙炔等；经营企业918家，主要经营汽柴油、天然气、液化石油气、液氨、酒精、盐酸等，建成储油罐库容有1087万立方米，主要分布在洋浦、东方、澄迈等地。</w:t>
      </w:r>
    </w:p>
    <w:p>
      <w:pPr>
        <w:ind w:firstLine="594"/>
      </w:pPr>
      <w:r>
        <w:rPr>
          <w:rFonts w:hint="eastAsia"/>
        </w:rPr>
        <w:t>道路运输企业50家，运输车辆1300辆，主要运输成品油、天然气、液化气、甲醇和一些化工原料。港口危险货物码头企业15家、31个泊位，分布在秀英港、马村港、洋浦港、八所港、三亚港、清澜港。港区内危险货物仓储经营企业10家，货物主要为原油、成品油、液化天然气及其他化工品。</w:t>
      </w:r>
    </w:p>
    <w:p>
      <w:pPr>
        <w:pStyle w:val="3"/>
      </w:pPr>
      <w:bookmarkStart w:id="20" w:name="_Toc88516178"/>
      <w:r>
        <w:rPr>
          <w:rFonts w:hint="eastAsia"/>
        </w:rPr>
        <w:t>2</w:t>
      </w:r>
      <w:r>
        <w:t>.2 风险分析</w:t>
      </w:r>
      <w:bookmarkEnd w:id="20"/>
    </w:p>
    <w:p>
      <w:pPr>
        <w:ind w:firstLine="594"/>
      </w:pPr>
      <w:r>
        <w:rPr>
          <w:rFonts w:hint="eastAsia"/>
        </w:rPr>
        <w:t>危险化学品生产安全事故具有突发性强、扩散性强、连锁性强等特点,在高温高湿条件下极易发生事故且救援难度和经济损失大，主要危害表现在：影响人体健康，容易导致火灾及爆炸，对生态环境造成污染等。</w:t>
      </w:r>
    </w:p>
    <w:p>
      <w:pPr>
        <w:ind w:firstLine="594"/>
      </w:pPr>
      <w:r>
        <w:rPr>
          <w:rFonts w:hint="eastAsia"/>
        </w:rPr>
        <w:t>危险化学品生产过程发生事故的主要原因有：因选材不当、缺少可靠的控制仪表导致的设备缺陷；因大量危险化学品问世导致人员对加工物质的危险性认识不足；因教育培训不到位、操作技能不熟练、习惯性违章等导致的人员误操作。</w:t>
      </w:r>
    </w:p>
    <w:p>
      <w:pPr>
        <w:ind w:firstLine="594"/>
      </w:pPr>
      <w:r>
        <w:rPr>
          <w:rFonts w:hint="eastAsia"/>
        </w:rPr>
        <w:t>危险化学品储存过程发生事故的主要原因有：因违章动火、作业车辆不防爆引起的明火源；因电气设备老化、故障引起的电气火花。</w:t>
      </w:r>
    </w:p>
    <w:p>
      <w:pPr>
        <w:ind w:firstLine="594"/>
      </w:pPr>
      <w:r>
        <w:rPr>
          <w:rFonts w:hint="eastAsia"/>
        </w:rPr>
        <w:t>危险化学品使用过程发生事故的主要原因有：因人员误操作导致的化学反应；因劳保佩戴不齐全导致的人员伤害等。</w:t>
      </w:r>
    </w:p>
    <w:p>
      <w:pPr>
        <w:ind w:firstLine="594"/>
      </w:pPr>
      <w:r>
        <w:rPr>
          <w:rFonts w:hint="eastAsia"/>
        </w:rPr>
        <w:t>危险化学品经营过程发生事故的主要原因有：因存储通风不良导致的化学反应；因装卸过程中车辆未接地导致的静电火花。</w:t>
      </w:r>
    </w:p>
    <w:p>
      <w:pPr>
        <w:ind w:firstLine="594"/>
      </w:pPr>
      <w:r>
        <w:rPr>
          <w:rFonts w:hint="eastAsia"/>
        </w:rPr>
        <w:t>危险化学品运输过程发生事故的主要原因有：因道路不平坦、车辆加减速过程中与容器发生摩擦导致的静电；因通风不良、受潮导致的化学反应；因交通事故发生的能量释放或点火源。</w:t>
      </w:r>
    </w:p>
    <w:p>
      <w:pPr>
        <w:ind w:firstLine="594"/>
      </w:pPr>
      <w:r>
        <w:rPr>
          <w:rFonts w:hint="eastAsia"/>
        </w:rPr>
        <w:t>危险化学品废弃处置过程发生事故的主要原因有：人员劳保穿戴不齐全导致的腐蚀、灼伤等人员伤害；因处置不当引发的危险化学品泄漏。</w:t>
      </w:r>
    </w:p>
    <w:p>
      <w:pPr>
        <w:pStyle w:val="2"/>
      </w:pPr>
      <w:bookmarkStart w:id="21" w:name="_Toc88516179"/>
      <w:r>
        <w:rPr>
          <w:rFonts w:hint="eastAsia"/>
        </w:rPr>
        <w:t>3</w:t>
      </w:r>
      <w:r>
        <w:t xml:space="preserve"> 组织</w:t>
      </w:r>
      <w:r>
        <w:rPr>
          <w:rFonts w:hint="eastAsia"/>
        </w:rPr>
        <w:t>体系及</w:t>
      </w:r>
      <w:r>
        <w:t>职责</w:t>
      </w:r>
      <w:bookmarkEnd w:id="21"/>
    </w:p>
    <w:p>
      <w:pPr>
        <w:pStyle w:val="3"/>
      </w:pPr>
      <w:bookmarkStart w:id="22" w:name="_Toc26731441"/>
      <w:bookmarkStart w:id="23" w:name="_Toc35332861"/>
      <w:bookmarkStart w:id="24" w:name="_Toc88516180"/>
      <w:r>
        <w:rPr>
          <w:rFonts w:hint="eastAsia"/>
        </w:rPr>
        <w:t>3</w:t>
      </w:r>
      <w:r>
        <w:t xml:space="preserve">.1 </w:t>
      </w:r>
      <w:bookmarkEnd w:id="22"/>
      <w:bookmarkEnd w:id="23"/>
      <w:bookmarkStart w:id="25" w:name="_Toc23793466"/>
      <w:r>
        <w:rPr>
          <w:rFonts w:hint="eastAsia"/>
        </w:rPr>
        <w:t>应急组织机构</w:t>
      </w:r>
      <w:bookmarkEnd w:id="24"/>
    </w:p>
    <w:bookmarkEnd w:id="25"/>
    <w:p>
      <w:pPr>
        <w:spacing w:line="560" w:lineRule="exact"/>
        <w:ind w:firstLine="594"/>
      </w:pPr>
      <w:r>
        <w:rPr>
          <w:rFonts w:hint="eastAsia"/>
        </w:rPr>
        <w:t>重大、特别重大危险化学品生产安全事故发生后，在省人民政府的统一领导下，成立海南省危险化学品生产安全事故应急指挥部（简称“省指挥部”），并根据现场实际需要成立海南省危险化学品生产安全事故现场救援指挥部（简称“现场指挥部”）。</w:t>
      </w:r>
    </w:p>
    <w:p>
      <w:pPr>
        <w:spacing w:line="560" w:lineRule="exact"/>
        <w:ind w:firstLine="594"/>
      </w:pPr>
    </w:p>
    <w:p>
      <w:pPr>
        <w:spacing w:line="560" w:lineRule="exact"/>
        <w:ind w:firstLine="594"/>
        <w:sectPr>
          <w:headerReference r:id="rId10" w:type="default"/>
          <w:footerReference r:id="rId11" w:type="default"/>
          <w:pgSz w:w="11906" w:h="16838"/>
          <w:pgMar w:top="2098" w:right="1797" w:bottom="1588" w:left="1797" w:header="567" w:footer="0" w:gutter="0"/>
          <w:pgNumType w:fmt="numberInDash" w:start="1"/>
          <w:cols w:space="425" w:num="1"/>
          <w:docGrid w:type="linesAndChars" w:linePitch="597" w:charSpace="-4740"/>
        </w:sectPr>
      </w:pPr>
    </w:p>
    <w:p>
      <w:pPr>
        <w:spacing w:line="240" w:lineRule="auto"/>
        <w:ind w:firstLine="0" w:firstLineChars="0"/>
      </w:pPr>
      <w:r>
        <w:object>
          <v:shape id="_x0000_i1025" o:spt="75" type="#_x0000_t75" style="height:357.5pt;width:680pt;" o:ole="t" filled="f" o:preferrelative="t" stroked="f" coordsize="21600,21600">
            <v:path/>
            <v:fill on="f" focussize="0,0"/>
            <v:stroke on="f" joinstyle="miter"/>
            <v:imagedata r:id="rId16" o:title=""/>
            <o:lock v:ext="edit" aspectratio="t"/>
            <w10:wrap type="none"/>
            <w10:anchorlock/>
          </v:shape>
          <o:OLEObject Type="Embed" ProgID="Visio.Drawing.15" ShapeID="_x0000_i1025" DrawAspect="Content" ObjectID="_1468075725" r:id="rId15">
            <o:LockedField>false</o:LockedField>
          </o:OLEObject>
        </w:object>
      </w:r>
    </w:p>
    <w:p>
      <w:pPr>
        <w:spacing w:line="240" w:lineRule="auto"/>
        <w:ind w:firstLine="0" w:firstLineChars="0"/>
        <w:rPr>
          <w:sz w:val="28"/>
          <w:szCs w:val="28"/>
        </w:rPr>
      </w:pPr>
    </w:p>
    <w:p>
      <w:pPr>
        <w:sectPr>
          <w:pgSz w:w="16838" w:h="11906" w:orient="landscape"/>
          <w:pgMar w:top="1701" w:right="1797" w:bottom="1588" w:left="1797" w:header="851" w:footer="0" w:gutter="0"/>
          <w:pgNumType w:fmt="numberInDash"/>
          <w:cols w:space="425" w:num="1"/>
          <w:docGrid w:type="linesAndChars" w:linePitch="326" w:charSpace="0"/>
        </w:sectPr>
      </w:pPr>
    </w:p>
    <w:p>
      <w:pPr>
        <w:pStyle w:val="3"/>
      </w:pPr>
      <w:bookmarkStart w:id="26" w:name="_Toc88516181"/>
      <w:bookmarkStart w:id="27" w:name="_Toc35332865"/>
      <w:bookmarkStart w:id="28" w:name="_Toc35432322"/>
      <w:bookmarkStart w:id="29" w:name="_Toc35593622"/>
      <w:r>
        <w:rPr>
          <w:rFonts w:hint="eastAsia"/>
        </w:rPr>
        <w:t>3.2</w:t>
      </w:r>
      <w:r>
        <w:t xml:space="preserve"> </w:t>
      </w:r>
      <w:r>
        <w:rPr>
          <w:rFonts w:hint="eastAsia"/>
        </w:rPr>
        <w:t>省指挥部</w:t>
      </w:r>
      <w:bookmarkEnd w:id="26"/>
    </w:p>
    <w:p>
      <w:pPr>
        <w:ind w:firstLine="594"/>
      </w:pPr>
      <w:r>
        <w:rPr>
          <w:rFonts w:hint="eastAsia"/>
        </w:rPr>
        <w:t>省指挥部是发生危险化学品重大、特别重大生产安全事故后成立的应急机构，由分管应急管理工作的副省长任省总指挥</w:t>
      </w:r>
      <w:r>
        <w:t>,</w:t>
      </w:r>
      <w:r>
        <w:rPr>
          <w:rFonts w:hint="eastAsia"/>
        </w:rPr>
        <w:t>应急厅主要负责人</w:t>
      </w:r>
      <w:r>
        <w:t>和事发地市县人民政府的主要领导任省副总指挥</w:t>
      </w:r>
      <w:r>
        <w:rPr>
          <w:rFonts w:hint="eastAsia"/>
        </w:rPr>
        <w:t>，省指挥部成员由省应急厅、省工信厅、省公安厅、省交通运输厅、省住建厅、省生态环境厅、海南海事局、海南铁路有限公司、民航海南安全监管局、省卫健委、省委宣传部、省消防救援总队等主要部门相关负责人组成。省指挥部成员应按实际救援要求，增减有关部门相关负责人。</w:t>
      </w:r>
    </w:p>
    <w:p>
      <w:pPr>
        <w:ind w:firstLine="594"/>
      </w:pPr>
      <w:r>
        <w:rPr>
          <w:rFonts w:hint="eastAsia"/>
        </w:rPr>
        <w:t>省指挥部主要负责指导协调市县人民政府、洋浦经济开发区管委会开展应急救援工作，指挥协调省安委会有关成员单位和省级应急救援力量参与救援工作。省指挥部成员单位职责如下：</w:t>
      </w:r>
    </w:p>
    <w:p>
      <w:pPr>
        <w:ind w:firstLine="594"/>
      </w:pPr>
      <w:r>
        <w:rPr>
          <w:rFonts w:hint="eastAsia"/>
        </w:rPr>
        <w:t>省应急厅：承担省危险化学品生产安全事故应急救援指挥部综合事宜，向省危险化学品生产安全事故应急救援指挥部提出应急处置建议。负责危险化学品生产、储存、使用（属于国民经济行业分类规定的化工、医药行业）、经营（指从事列入《危险化学品目录》的危险化学品的经营包括仓储经营，不含港口存储）企业的安全管理和事故牵头处置，指导危险化学品生产安全事故应急救援，按照权限指挥调度综合性消防救援队和专业危险化学品救援等队伍参与应急救援，指导事故善后处理工作。</w:t>
      </w:r>
    </w:p>
    <w:p>
      <w:pPr>
        <w:ind w:firstLine="594"/>
      </w:pPr>
      <w:r>
        <w:rPr>
          <w:rFonts w:hint="eastAsia"/>
        </w:rPr>
        <w:t>省委宣传部：负责新闻媒体的组织、协调和危险化学品生产安全事故情况的新闻发布和舆论引导等工作。</w:t>
      </w:r>
    </w:p>
    <w:p>
      <w:pPr>
        <w:ind w:firstLine="594"/>
      </w:pPr>
      <w:r>
        <w:t>省发改委</w:t>
      </w:r>
      <w:r>
        <w:rPr>
          <w:rFonts w:hint="eastAsia"/>
        </w:rPr>
        <w:t>：配合做好石油天然气长输管道（城镇燃气管道以及由油气田企业、化工企业管理的厂区内管道和集输管道除外）</w:t>
      </w:r>
      <w:r>
        <w:t>生产安全事故的应急救援工作，协调事故发生后石油天然气资源调度及供应安全，参与事故处置、调查处理和总结评估。</w:t>
      </w:r>
    </w:p>
    <w:p>
      <w:pPr>
        <w:ind w:firstLine="594"/>
      </w:pPr>
      <w:r>
        <w:rPr>
          <w:rFonts w:hint="eastAsia"/>
        </w:rPr>
        <w:t>省工信厅：负责危险化学品生产、储存的行业规划和布局。负责危险化学品生产安全事故应急通信的无线电频率协调保障。</w:t>
      </w:r>
    </w:p>
    <w:p>
      <w:pPr>
        <w:ind w:firstLine="594"/>
      </w:pPr>
      <w:r>
        <w:rPr>
          <w:rFonts w:hint="eastAsia"/>
        </w:rPr>
        <w:t>省公安厅：负责配合处理危险化学品运输车辆的道路交通安全事故应急处置，负责危险化学品的公共安全管理。指导、协调危险化学品生产安全事故现场及周边道路交通管控工作，协助组织受灾群众安全疏散。负责事故现场警戒、秩序维护和涉案人员的管控等工作。</w:t>
      </w:r>
    </w:p>
    <w:p>
      <w:pPr>
        <w:ind w:firstLine="594"/>
      </w:pPr>
      <w:r>
        <w:rPr>
          <w:rFonts w:hint="eastAsia"/>
        </w:rPr>
        <w:t>省交通运输厅：负责危险化学品道路运输、水路运输企业和港区（口）内储存、装卸、仓储经营危险化学品企业的安全管理和事故牵头处置。负责牵头组织实施涉及到省管铁路运输危险化学品的铁路交通事故的应急救援工作，协调生产安全事故应急期间道路和内河运输的保障工作。负责开辟救援绿色通道，协助调集、征用救援车辆，做好事故现场抢险物资和抢险人员运送工作。</w:t>
      </w:r>
    </w:p>
    <w:p>
      <w:pPr>
        <w:ind w:firstLine="594"/>
      </w:pPr>
      <w:r>
        <w:rPr>
          <w:rFonts w:hint="eastAsia"/>
        </w:rPr>
        <w:t>省住建厅：负责牵头处理城镇燃气设施事故的应急处置工作。负责指导因危险化学品生产安全事故造成受损建（构）筑物的评估、鉴定、处置工作，指导事故发生城市开展城市基础设施和公用设施的处置和恢复重建工作。</w:t>
      </w:r>
    </w:p>
    <w:p>
      <w:pPr>
        <w:ind w:firstLine="594"/>
      </w:pPr>
      <w:r>
        <w:rPr>
          <w:rFonts w:hint="eastAsia"/>
        </w:rPr>
        <w:t>省生态环境厅：负责废弃危险化学品处置的监督管理，组织危险化学品的环境危害性鉴定和环境风险程度评估，确定实施重点环境管理的危险化学品，负责危险化学品环境管理登记和新化学物质环境管理登记；依照职责分工调查相关危险化学品环境污染事故和生态破坏事件，负责危险化学品生产安全事故现场的应急环境监测。</w:t>
      </w:r>
    </w:p>
    <w:p>
      <w:pPr>
        <w:ind w:firstLine="594"/>
      </w:pPr>
      <w:r>
        <w:rPr>
          <w:rFonts w:hint="eastAsia"/>
        </w:rPr>
        <w:t>海南海事局：负责牵头组织、协调船舶交通事故引发船舶危险化学品污染内河水域或海域的应急处置工作，以及危险化学品生产安全事故现场的水上交通管控工作。</w:t>
      </w:r>
    </w:p>
    <w:p>
      <w:pPr>
        <w:ind w:firstLine="594"/>
      </w:pPr>
      <w:r>
        <w:rPr>
          <w:rFonts w:hint="eastAsia"/>
        </w:rPr>
        <w:t>海南铁路有限公司：参与、协调涉及到危险化学品的铁路交通事故、铁路工程施工领域的应急救援和调查处理工作；指导、督促铁路运输企业落实事故应急救援的各项规定。</w:t>
      </w:r>
    </w:p>
    <w:p>
      <w:pPr>
        <w:ind w:firstLine="594"/>
      </w:pPr>
      <w:r>
        <w:rPr>
          <w:rFonts w:hint="eastAsia"/>
        </w:rPr>
        <w:t>民航海南安全监管局：经民航上级单位授权，负责牵头组织实施航空运输危险品事故、危险品事故征候的应急救援工作。</w:t>
      </w:r>
    </w:p>
    <w:p>
      <w:pPr>
        <w:ind w:firstLine="594"/>
      </w:pPr>
      <w:r>
        <w:rPr>
          <w:rFonts w:hint="eastAsia"/>
        </w:rPr>
        <w:t>省卫健委：负责危险化学品毒性鉴定的管理，负责组织、协调危险化学品生产安全事故受伤人员的医疗卫生救援工作。</w:t>
      </w:r>
    </w:p>
    <w:p>
      <w:pPr>
        <w:ind w:firstLine="594"/>
      </w:pPr>
      <w:r>
        <w:rPr>
          <w:rFonts w:hint="eastAsia"/>
        </w:rPr>
        <w:t>省消防救援总队：负责指挥消防救援队伍参与应急救援工作，制定事故灭火救援方案。负责事故现场火灾扑救，人员搜救和事故得到控制后的洗消工作。</w:t>
      </w:r>
    </w:p>
    <w:p>
      <w:pPr>
        <w:pStyle w:val="3"/>
      </w:pPr>
      <w:bookmarkStart w:id="30" w:name="_Toc88516182"/>
      <w:r>
        <w:rPr>
          <w:rFonts w:hint="eastAsia"/>
        </w:rPr>
        <w:t>3.3</w:t>
      </w:r>
      <w:r>
        <w:t xml:space="preserve"> </w:t>
      </w:r>
      <w:r>
        <w:rPr>
          <w:rFonts w:hint="eastAsia"/>
        </w:rPr>
        <w:t>现场指挥部</w:t>
      </w:r>
      <w:bookmarkEnd w:id="30"/>
    </w:p>
    <w:p>
      <w:pPr>
        <w:spacing w:line="560" w:lineRule="exact"/>
        <w:ind w:firstLine="594"/>
      </w:pPr>
      <w:r>
        <w:rPr>
          <w:rFonts w:hint="eastAsia"/>
        </w:rPr>
        <w:t>现场指挥部是发生危险化学品重大、特别重大生产安全事故（以及1.4条规定的其他事故范围）后，由省指挥部成立的应急机构，现场指挥长由省指挥部指定人员担任，成员由事发地市县人民政府（洋浦经济开发区管委会）、省安委会有关部门、救援队伍、事发企业等有关负责人及应急专家组成。</w:t>
      </w:r>
    </w:p>
    <w:p>
      <w:pPr>
        <w:spacing w:line="560" w:lineRule="exact"/>
        <w:ind w:firstLine="594"/>
      </w:pPr>
      <w:r>
        <w:rPr>
          <w:rFonts w:hint="eastAsia"/>
        </w:rPr>
        <w:t>现场指挥部具体负责事故的应急救援工作：制定事故应急救援方案，指挥协调应急救援力量开展救援，及时向省指挥部报告事故发展态势及救援情况，落实省指挥部交办的其他事宜。</w:t>
      </w:r>
    </w:p>
    <w:p>
      <w:pPr>
        <w:spacing w:line="560" w:lineRule="exact"/>
        <w:ind w:firstLine="594"/>
        <w:sectPr>
          <w:pgSz w:w="11906" w:h="16838"/>
          <w:pgMar w:top="2098" w:right="1797" w:bottom="1588" w:left="1797" w:header="851" w:footer="0" w:gutter="0"/>
          <w:pgNumType w:fmt="numberInDash"/>
          <w:cols w:space="425" w:num="1"/>
          <w:docGrid w:type="linesAndChars" w:linePitch="597" w:charSpace="-4740"/>
        </w:sectPr>
      </w:pPr>
      <w:r>
        <w:rPr>
          <w:rFonts w:hint="eastAsia"/>
        </w:rPr>
        <w:t>现场指挥部根据救援需要下设若干应急救援职能小组，具体分工和职责如下：</w:t>
      </w:r>
    </w:p>
    <w:tbl>
      <w:tblPr>
        <w:tblStyle w:val="31"/>
        <w:tblW w:w="132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388"/>
        <w:gridCol w:w="6378"/>
        <w:gridCol w:w="3854"/>
        <w:gridCol w:w="1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blHeader/>
          <w:jc w:val="center"/>
        </w:trPr>
        <w:tc>
          <w:tcPr>
            <w:tcW w:w="13236" w:type="dxa"/>
            <w:gridSpan w:val="4"/>
            <w:shd w:val="clear" w:color="auto" w:fill="D9D9D9"/>
            <w:vAlign w:val="center"/>
          </w:tcPr>
          <w:p>
            <w:pPr>
              <w:pStyle w:val="42"/>
              <w:spacing w:line="240" w:lineRule="auto"/>
              <w:ind w:firstLine="0" w:firstLineChars="0"/>
              <w:jc w:val="center"/>
              <w:rPr>
                <w:b/>
                <w:sz w:val="24"/>
                <w:szCs w:val="21"/>
                <w:lang w:eastAsia="en-US"/>
              </w:rPr>
            </w:pPr>
            <w:r>
              <w:rPr>
                <w:rFonts w:hint="eastAsia"/>
                <w:b/>
                <w:sz w:val="24"/>
                <w:szCs w:val="21"/>
                <w:lang w:eastAsia="en-US"/>
              </w:rPr>
              <w:t>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blHeader/>
          <w:jc w:val="center"/>
        </w:trPr>
        <w:tc>
          <w:tcPr>
            <w:tcW w:w="1388" w:type="dxa"/>
            <w:shd w:val="clear" w:color="auto" w:fill="D9D9D9"/>
            <w:vAlign w:val="center"/>
          </w:tcPr>
          <w:p>
            <w:pPr>
              <w:pStyle w:val="42"/>
              <w:spacing w:line="240" w:lineRule="auto"/>
              <w:ind w:firstLine="0" w:firstLineChars="0"/>
              <w:jc w:val="center"/>
              <w:rPr>
                <w:b/>
                <w:sz w:val="24"/>
                <w:szCs w:val="21"/>
                <w:lang w:eastAsia="en-US"/>
              </w:rPr>
            </w:pPr>
            <w:r>
              <w:rPr>
                <w:b/>
                <w:sz w:val="24"/>
                <w:szCs w:val="21"/>
                <w:lang w:eastAsia="en-US"/>
              </w:rPr>
              <w:t>应急岗位</w:t>
            </w:r>
          </w:p>
        </w:tc>
        <w:tc>
          <w:tcPr>
            <w:tcW w:w="6378" w:type="dxa"/>
            <w:shd w:val="clear" w:color="auto" w:fill="D9D9D9"/>
            <w:vAlign w:val="center"/>
          </w:tcPr>
          <w:p>
            <w:pPr>
              <w:pStyle w:val="42"/>
              <w:spacing w:line="240" w:lineRule="auto"/>
              <w:ind w:firstLine="0" w:firstLineChars="0"/>
              <w:jc w:val="center"/>
              <w:rPr>
                <w:b/>
                <w:sz w:val="24"/>
                <w:szCs w:val="21"/>
                <w:lang w:eastAsia="en-US"/>
              </w:rPr>
            </w:pPr>
            <w:r>
              <w:rPr>
                <w:b/>
                <w:sz w:val="24"/>
                <w:szCs w:val="21"/>
                <w:lang w:eastAsia="en-US"/>
              </w:rPr>
              <w:t>主要职责</w:t>
            </w:r>
          </w:p>
        </w:tc>
        <w:tc>
          <w:tcPr>
            <w:tcW w:w="3854" w:type="dxa"/>
            <w:shd w:val="clear" w:color="auto" w:fill="D9D9D9"/>
            <w:vAlign w:val="center"/>
          </w:tcPr>
          <w:p>
            <w:pPr>
              <w:pStyle w:val="42"/>
              <w:spacing w:line="240" w:lineRule="auto"/>
              <w:ind w:firstLine="0" w:firstLineChars="0"/>
              <w:jc w:val="center"/>
              <w:rPr>
                <w:b/>
                <w:sz w:val="24"/>
                <w:szCs w:val="21"/>
                <w:lang w:eastAsia="en-US"/>
              </w:rPr>
            </w:pPr>
            <w:r>
              <w:rPr>
                <w:rFonts w:hint="eastAsia"/>
                <w:b/>
                <w:sz w:val="24"/>
                <w:szCs w:val="21"/>
                <w:lang w:eastAsia="en-US"/>
              </w:rPr>
              <w:t>组成成员</w:t>
            </w:r>
          </w:p>
        </w:tc>
        <w:tc>
          <w:tcPr>
            <w:tcW w:w="1616" w:type="dxa"/>
            <w:shd w:val="clear" w:color="auto" w:fill="D9D9D9"/>
            <w:vAlign w:val="center"/>
          </w:tcPr>
          <w:p>
            <w:pPr>
              <w:pStyle w:val="42"/>
              <w:spacing w:line="240" w:lineRule="auto"/>
              <w:ind w:firstLine="0" w:firstLineChars="0"/>
              <w:jc w:val="center"/>
              <w:rPr>
                <w:b/>
                <w:sz w:val="24"/>
                <w:szCs w:val="21"/>
                <w:lang w:eastAsia="en-US"/>
              </w:rPr>
            </w:pPr>
            <w:r>
              <w:rPr>
                <w:b/>
                <w:sz w:val="24"/>
                <w:szCs w:val="21"/>
                <w:lang w:eastAsia="en-US"/>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7" w:hRule="exac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现场指挥长</w:t>
            </w:r>
          </w:p>
        </w:tc>
        <w:tc>
          <w:tcPr>
            <w:tcW w:w="6378" w:type="dxa"/>
            <w:shd w:val="clear" w:color="auto" w:fill="auto"/>
            <w:vAlign w:val="center"/>
          </w:tcPr>
          <w:p>
            <w:pPr>
              <w:pStyle w:val="42"/>
              <w:numPr>
                <w:ilvl w:val="0"/>
                <w:numId w:val="2"/>
              </w:numPr>
              <w:spacing w:line="240" w:lineRule="auto"/>
              <w:ind w:firstLineChars="0"/>
              <w:rPr>
                <w:sz w:val="21"/>
                <w:szCs w:val="21"/>
              </w:rPr>
            </w:pPr>
            <w:r>
              <w:rPr>
                <w:rFonts w:hint="eastAsia"/>
                <w:sz w:val="21"/>
                <w:szCs w:val="21"/>
              </w:rPr>
              <w:t>全面负责现场应急救援处置工作</w:t>
            </w:r>
          </w:p>
          <w:p>
            <w:pPr>
              <w:pStyle w:val="42"/>
              <w:numPr>
                <w:ilvl w:val="0"/>
                <w:numId w:val="2"/>
              </w:numPr>
              <w:spacing w:line="240" w:lineRule="auto"/>
              <w:ind w:firstLineChars="0"/>
              <w:rPr>
                <w:sz w:val="21"/>
                <w:szCs w:val="21"/>
              </w:rPr>
            </w:pPr>
            <w:r>
              <w:rPr>
                <w:rFonts w:hint="eastAsia"/>
                <w:sz w:val="21"/>
                <w:szCs w:val="21"/>
              </w:rPr>
              <w:t>执行省指挥部有关应急决策</w:t>
            </w:r>
          </w:p>
          <w:p>
            <w:pPr>
              <w:pStyle w:val="42"/>
              <w:numPr>
                <w:ilvl w:val="0"/>
                <w:numId w:val="2"/>
              </w:numPr>
              <w:spacing w:line="240" w:lineRule="auto"/>
              <w:ind w:firstLineChars="0"/>
              <w:rPr>
                <w:sz w:val="21"/>
                <w:szCs w:val="21"/>
              </w:rPr>
            </w:pPr>
            <w:r>
              <w:rPr>
                <w:rFonts w:hint="eastAsia"/>
                <w:sz w:val="21"/>
                <w:szCs w:val="21"/>
              </w:rPr>
              <w:t>负责应急整体安全、制定应急策略及救援计划</w:t>
            </w:r>
          </w:p>
          <w:p>
            <w:pPr>
              <w:pStyle w:val="42"/>
              <w:numPr>
                <w:ilvl w:val="0"/>
                <w:numId w:val="2"/>
              </w:numPr>
              <w:spacing w:line="240" w:lineRule="auto"/>
              <w:ind w:firstLineChars="0"/>
              <w:rPr>
                <w:sz w:val="21"/>
                <w:szCs w:val="21"/>
              </w:rPr>
            </w:pPr>
            <w:r>
              <w:rPr>
                <w:rFonts w:hint="eastAsia"/>
                <w:sz w:val="21"/>
                <w:szCs w:val="21"/>
              </w:rPr>
              <w:t>确保所有应急小组履行应急职责</w:t>
            </w:r>
          </w:p>
        </w:tc>
        <w:tc>
          <w:tcPr>
            <w:tcW w:w="3854" w:type="dxa"/>
            <w:shd w:val="clear" w:color="auto" w:fill="auto"/>
            <w:vAlign w:val="center"/>
          </w:tcPr>
          <w:p>
            <w:pPr>
              <w:pStyle w:val="42"/>
              <w:spacing w:line="240" w:lineRule="auto"/>
              <w:ind w:firstLine="0" w:firstLineChars="0"/>
              <w:rPr>
                <w:sz w:val="21"/>
                <w:szCs w:val="21"/>
                <w:lang w:eastAsia="en-US"/>
              </w:rPr>
            </w:pPr>
            <w:r>
              <w:rPr>
                <w:sz w:val="21"/>
                <w:szCs w:val="21"/>
                <w:lang w:eastAsia="en-US"/>
              </w:rPr>
              <w:t>由省指挥部指定</w:t>
            </w:r>
          </w:p>
        </w:tc>
        <w:tc>
          <w:tcPr>
            <w:tcW w:w="1616" w:type="dxa"/>
            <w:shd w:val="clear" w:color="auto" w:fill="auto"/>
            <w:vAlign w:val="center"/>
          </w:tcPr>
          <w:p>
            <w:pPr>
              <w:spacing w:line="240" w:lineRule="auto"/>
              <w:ind w:firstLine="0" w:firstLineChars="0"/>
              <w:rPr>
                <w:sz w:val="21"/>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1" w:hRule="exac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sz w:val="21"/>
                <w:szCs w:val="21"/>
                <w:lang w:eastAsia="en-US"/>
              </w:rPr>
              <w:t>分析研判组</w:t>
            </w:r>
          </w:p>
        </w:tc>
        <w:tc>
          <w:tcPr>
            <w:tcW w:w="6378" w:type="dxa"/>
            <w:shd w:val="clear" w:color="auto" w:fill="auto"/>
            <w:vAlign w:val="center"/>
          </w:tcPr>
          <w:p>
            <w:pPr>
              <w:pStyle w:val="42"/>
              <w:numPr>
                <w:ilvl w:val="0"/>
                <w:numId w:val="3"/>
              </w:numPr>
              <w:spacing w:line="240" w:lineRule="auto"/>
              <w:ind w:firstLineChars="0"/>
              <w:rPr>
                <w:sz w:val="21"/>
                <w:szCs w:val="21"/>
              </w:rPr>
            </w:pPr>
            <w:r>
              <w:rPr>
                <w:rFonts w:hint="eastAsia"/>
                <w:sz w:val="21"/>
                <w:szCs w:val="21"/>
              </w:rPr>
              <w:t>为应急救援行动的决策提供技术支持</w:t>
            </w:r>
          </w:p>
          <w:p>
            <w:pPr>
              <w:pStyle w:val="42"/>
              <w:numPr>
                <w:ilvl w:val="0"/>
                <w:numId w:val="3"/>
              </w:numPr>
              <w:spacing w:line="240" w:lineRule="auto"/>
              <w:ind w:firstLineChars="0"/>
              <w:rPr>
                <w:sz w:val="21"/>
                <w:szCs w:val="21"/>
              </w:rPr>
            </w:pPr>
            <w:r>
              <w:rPr>
                <w:rFonts w:hint="eastAsia"/>
                <w:sz w:val="21"/>
                <w:szCs w:val="21"/>
              </w:rPr>
              <w:t>对事故发展趋势、抢险救援方案提出建议</w:t>
            </w:r>
          </w:p>
          <w:p>
            <w:pPr>
              <w:pStyle w:val="42"/>
              <w:numPr>
                <w:ilvl w:val="0"/>
                <w:numId w:val="3"/>
              </w:numPr>
              <w:spacing w:line="240" w:lineRule="auto"/>
              <w:ind w:firstLineChars="0"/>
              <w:rPr>
                <w:sz w:val="21"/>
                <w:szCs w:val="21"/>
              </w:rPr>
            </w:pPr>
            <w:r>
              <w:rPr>
                <w:rFonts w:hint="eastAsia"/>
                <w:sz w:val="21"/>
                <w:szCs w:val="21"/>
              </w:rPr>
              <w:t>对涉事区域进行环境监测工作</w:t>
            </w:r>
          </w:p>
          <w:p>
            <w:pPr>
              <w:pStyle w:val="42"/>
              <w:numPr>
                <w:ilvl w:val="0"/>
                <w:numId w:val="3"/>
              </w:numPr>
              <w:spacing w:line="240" w:lineRule="auto"/>
              <w:ind w:firstLineChars="0"/>
              <w:rPr>
                <w:sz w:val="21"/>
                <w:szCs w:val="21"/>
              </w:rPr>
            </w:pPr>
            <w:r>
              <w:rPr>
                <w:rFonts w:hint="eastAsia"/>
                <w:sz w:val="21"/>
                <w:szCs w:val="21"/>
              </w:rPr>
              <w:t>提出控制污染扩散建议，防止发生环境污染次生灾害</w:t>
            </w:r>
          </w:p>
        </w:tc>
        <w:tc>
          <w:tcPr>
            <w:tcW w:w="3854" w:type="dxa"/>
            <w:shd w:val="clear" w:color="auto" w:fill="auto"/>
            <w:vAlign w:val="center"/>
          </w:tcPr>
          <w:p>
            <w:pPr>
              <w:pStyle w:val="42"/>
              <w:spacing w:line="240" w:lineRule="auto"/>
              <w:ind w:firstLine="0" w:firstLineChars="0"/>
              <w:rPr>
                <w:sz w:val="21"/>
                <w:szCs w:val="21"/>
              </w:rPr>
            </w:pPr>
            <w:r>
              <w:rPr>
                <w:rFonts w:hint="eastAsia"/>
                <w:sz w:val="21"/>
                <w:szCs w:val="21"/>
              </w:rPr>
              <w:t>省应急厅、省生态环境厅、海南海事局、省气象局、事发地人民政府等部门和单位、应急专家</w:t>
            </w:r>
          </w:p>
        </w:tc>
        <w:tc>
          <w:tcPr>
            <w:tcW w:w="1616" w:type="dxa"/>
            <w:shd w:val="clear" w:color="auto" w:fill="auto"/>
            <w:vAlign w:val="center"/>
          </w:tcPr>
          <w:p>
            <w:pPr>
              <w:pStyle w:val="42"/>
              <w:spacing w:line="240" w:lineRule="auto"/>
              <w:ind w:firstLine="0" w:firstLineChars="0"/>
              <w:rPr>
                <w:sz w:val="21"/>
                <w:szCs w:val="21"/>
                <w:lang w:eastAsia="en-US"/>
              </w:rPr>
            </w:pPr>
            <w:r>
              <w:rPr>
                <w:rFonts w:hint="eastAsia"/>
                <w:sz w:val="21"/>
                <w:szCs w:val="21"/>
                <w:lang w:eastAsia="en-US"/>
              </w:rPr>
              <w:t>省应急厅牵头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3" w:hRule="exac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交通管控</w:t>
            </w:r>
            <w:r>
              <w:rPr>
                <w:sz w:val="21"/>
                <w:szCs w:val="21"/>
                <w:lang w:eastAsia="en-US"/>
              </w:rPr>
              <w:t>组</w:t>
            </w:r>
          </w:p>
        </w:tc>
        <w:tc>
          <w:tcPr>
            <w:tcW w:w="6378" w:type="dxa"/>
            <w:shd w:val="clear" w:color="auto" w:fill="auto"/>
            <w:vAlign w:val="center"/>
          </w:tcPr>
          <w:p>
            <w:pPr>
              <w:pStyle w:val="42"/>
              <w:numPr>
                <w:ilvl w:val="0"/>
                <w:numId w:val="4"/>
              </w:numPr>
              <w:spacing w:line="240" w:lineRule="auto"/>
              <w:ind w:firstLineChars="0"/>
              <w:rPr>
                <w:sz w:val="21"/>
                <w:szCs w:val="21"/>
              </w:rPr>
            </w:pPr>
            <w:r>
              <w:rPr>
                <w:rFonts w:hint="eastAsia"/>
                <w:sz w:val="21"/>
                <w:szCs w:val="21"/>
              </w:rPr>
              <w:t>组织事故可能危及区域有关人员的紧急疏散、撤离</w:t>
            </w:r>
          </w:p>
          <w:p>
            <w:pPr>
              <w:pStyle w:val="42"/>
              <w:numPr>
                <w:ilvl w:val="0"/>
                <w:numId w:val="4"/>
              </w:numPr>
              <w:spacing w:line="240" w:lineRule="auto"/>
              <w:ind w:firstLineChars="0"/>
              <w:rPr>
                <w:sz w:val="21"/>
                <w:szCs w:val="21"/>
              </w:rPr>
            </w:pPr>
            <w:r>
              <w:rPr>
                <w:rFonts w:hint="eastAsia"/>
                <w:sz w:val="21"/>
                <w:szCs w:val="21"/>
              </w:rPr>
              <w:t>保护事故现场，维护现场秩序</w:t>
            </w:r>
          </w:p>
          <w:p>
            <w:pPr>
              <w:pStyle w:val="42"/>
              <w:numPr>
                <w:ilvl w:val="0"/>
                <w:numId w:val="4"/>
              </w:numPr>
              <w:spacing w:line="240" w:lineRule="auto"/>
              <w:ind w:firstLineChars="0"/>
              <w:rPr>
                <w:sz w:val="21"/>
                <w:szCs w:val="21"/>
              </w:rPr>
            </w:pPr>
            <w:r>
              <w:rPr>
                <w:rFonts w:hint="eastAsia"/>
                <w:sz w:val="21"/>
                <w:szCs w:val="21"/>
              </w:rPr>
              <w:t>根据实际情况实行交通管控和疏导，开辟应急通道，保障应急处置人员、车辆和物资装备的应急通行需要</w:t>
            </w:r>
          </w:p>
          <w:p>
            <w:pPr>
              <w:pStyle w:val="42"/>
              <w:numPr>
                <w:ilvl w:val="0"/>
                <w:numId w:val="4"/>
              </w:numPr>
              <w:spacing w:line="240" w:lineRule="auto"/>
              <w:ind w:firstLineChars="0"/>
              <w:rPr>
                <w:sz w:val="21"/>
                <w:szCs w:val="21"/>
                <w:lang w:eastAsia="en-US"/>
              </w:rPr>
            </w:pPr>
            <w:r>
              <w:rPr>
                <w:rFonts w:hint="eastAsia"/>
                <w:sz w:val="21"/>
                <w:szCs w:val="21"/>
                <w:lang w:eastAsia="en-US"/>
              </w:rPr>
              <w:t>尽快恢复被毁交通路线</w:t>
            </w:r>
          </w:p>
          <w:p>
            <w:pPr>
              <w:pStyle w:val="42"/>
              <w:spacing w:line="240" w:lineRule="auto"/>
              <w:ind w:firstLine="0" w:firstLineChars="0"/>
              <w:rPr>
                <w:sz w:val="21"/>
                <w:szCs w:val="21"/>
                <w:lang w:eastAsia="en-US"/>
              </w:rPr>
            </w:pPr>
          </w:p>
        </w:tc>
        <w:tc>
          <w:tcPr>
            <w:tcW w:w="3854" w:type="dxa"/>
            <w:shd w:val="clear" w:color="auto" w:fill="auto"/>
            <w:vAlign w:val="center"/>
          </w:tcPr>
          <w:p>
            <w:pPr>
              <w:pStyle w:val="42"/>
              <w:spacing w:line="240" w:lineRule="auto"/>
              <w:ind w:firstLine="0" w:firstLineChars="0"/>
              <w:rPr>
                <w:sz w:val="21"/>
                <w:szCs w:val="21"/>
              </w:rPr>
            </w:pPr>
            <w:r>
              <w:rPr>
                <w:rFonts w:hint="eastAsia"/>
                <w:sz w:val="21"/>
                <w:szCs w:val="21"/>
              </w:rPr>
              <w:t>省公安厅、省交通运输厅、事发地人民政府等部门和单位</w:t>
            </w:r>
          </w:p>
        </w:tc>
        <w:tc>
          <w:tcPr>
            <w:tcW w:w="1616" w:type="dxa"/>
            <w:shd w:val="clear" w:color="auto" w:fill="auto"/>
            <w:vAlign w:val="center"/>
          </w:tcPr>
          <w:p>
            <w:pPr>
              <w:pStyle w:val="42"/>
              <w:spacing w:line="240" w:lineRule="auto"/>
              <w:ind w:firstLine="0" w:firstLineChars="0"/>
              <w:rPr>
                <w:sz w:val="21"/>
                <w:szCs w:val="21"/>
                <w:lang w:eastAsia="en-US"/>
              </w:rPr>
            </w:pPr>
            <w:r>
              <w:rPr>
                <w:sz w:val="21"/>
                <w:szCs w:val="21"/>
                <w:lang w:eastAsia="en-US"/>
              </w:rPr>
              <w:t>省公安厅牵头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6" w:hRule="atLeas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综合协调组</w:t>
            </w:r>
          </w:p>
        </w:tc>
        <w:tc>
          <w:tcPr>
            <w:tcW w:w="6378" w:type="dxa"/>
            <w:shd w:val="clear" w:color="auto" w:fill="auto"/>
            <w:vAlign w:val="center"/>
          </w:tcPr>
          <w:p>
            <w:pPr>
              <w:pStyle w:val="42"/>
              <w:numPr>
                <w:ilvl w:val="0"/>
                <w:numId w:val="5"/>
              </w:numPr>
              <w:spacing w:line="240" w:lineRule="auto"/>
              <w:ind w:firstLineChars="0"/>
              <w:rPr>
                <w:sz w:val="21"/>
                <w:szCs w:val="21"/>
              </w:rPr>
            </w:pPr>
            <w:r>
              <w:rPr>
                <w:rFonts w:hint="eastAsia"/>
                <w:sz w:val="21"/>
                <w:szCs w:val="21"/>
              </w:rPr>
              <w:t>承担现场指挥部信息收集、指令的接收和转发</w:t>
            </w:r>
          </w:p>
          <w:p>
            <w:pPr>
              <w:pStyle w:val="42"/>
              <w:numPr>
                <w:ilvl w:val="0"/>
                <w:numId w:val="5"/>
              </w:numPr>
              <w:spacing w:line="240" w:lineRule="auto"/>
              <w:ind w:firstLineChars="0"/>
              <w:rPr>
                <w:sz w:val="21"/>
                <w:szCs w:val="21"/>
              </w:rPr>
            </w:pPr>
            <w:r>
              <w:rPr>
                <w:rFonts w:hint="eastAsia"/>
                <w:sz w:val="21"/>
                <w:szCs w:val="21"/>
              </w:rPr>
              <w:t>及时向省指挥部汇报现场救援情况</w:t>
            </w:r>
          </w:p>
          <w:p>
            <w:pPr>
              <w:pStyle w:val="42"/>
              <w:numPr>
                <w:ilvl w:val="0"/>
                <w:numId w:val="5"/>
              </w:numPr>
              <w:spacing w:line="240" w:lineRule="auto"/>
              <w:ind w:firstLineChars="0"/>
              <w:rPr>
                <w:sz w:val="21"/>
                <w:szCs w:val="21"/>
              </w:rPr>
            </w:pPr>
            <w:r>
              <w:rPr>
                <w:rFonts w:hint="eastAsia"/>
                <w:sz w:val="21"/>
                <w:szCs w:val="21"/>
              </w:rPr>
              <w:t>协调各方应急救援力量和资源</w:t>
            </w:r>
          </w:p>
          <w:p>
            <w:pPr>
              <w:pStyle w:val="42"/>
              <w:numPr>
                <w:ilvl w:val="0"/>
                <w:numId w:val="5"/>
              </w:numPr>
              <w:spacing w:line="240" w:lineRule="auto"/>
              <w:ind w:firstLineChars="0"/>
              <w:rPr>
                <w:sz w:val="21"/>
                <w:szCs w:val="21"/>
              </w:rPr>
            </w:pPr>
            <w:r>
              <w:rPr>
                <w:rFonts w:hint="eastAsia"/>
                <w:sz w:val="21"/>
                <w:szCs w:val="21"/>
              </w:rPr>
              <w:t>承办现场指挥部各类会议，督促落实现场指挥部议定事项</w:t>
            </w:r>
          </w:p>
          <w:p>
            <w:pPr>
              <w:pStyle w:val="42"/>
              <w:numPr>
                <w:ilvl w:val="0"/>
                <w:numId w:val="5"/>
              </w:numPr>
              <w:spacing w:line="240" w:lineRule="auto"/>
              <w:ind w:firstLineChars="0"/>
              <w:rPr>
                <w:sz w:val="21"/>
                <w:szCs w:val="21"/>
              </w:rPr>
            </w:pPr>
            <w:r>
              <w:rPr>
                <w:rFonts w:hint="eastAsia"/>
                <w:sz w:val="21"/>
                <w:szCs w:val="21"/>
              </w:rPr>
              <w:t>负责相关文件、影像资料的收集、整理、保管和归档等工作</w:t>
            </w:r>
          </w:p>
        </w:tc>
        <w:tc>
          <w:tcPr>
            <w:tcW w:w="3854" w:type="dxa"/>
            <w:shd w:val="clear" w:color="auto" w:fill="auto"/>
            <w:vAlign w:val="center"/>
          </w:tcPr>
          <w:p>
            <w:pPr>
              <w:pStyle w:val="42"/>
              <w:spacing w:line="240" w:lineRule="auto"/>
              <w:ind w:firstLine="0" w:firstLineChars="0"/>
              <w:rPr>
                <w:sz w:val="21"/>
                <w:szCs w:val="21"/>
              </w:rPr>
            </w:pPr>
            <w:r>
              <w:rPr>
                <w:rFonts w:hint="eastAsia"/>
                <w:sz w:val="21"/>
                <w:szCs w:val="21"/>
              </w:rPr>
              <w:t>省应急厅、省公安厅、省交通运输厅、事发地人民政府等部门和单位</w:t>
            </w:r>
          </w:p>
        </w:tc>
        <w:tc>
          <w:tcPr>
            <w:tcW w:w="1616" w:type="dxa"/>
            <w:shd w:val="clear" w:color="auto" w:fill="auto"/>
            <w:vAlign w:val="center"/>
          </w:tcPr>
          <w:p>
            <w:pPr>
              <w:pStyle w:val="42"/>
              <w:spacing w:line="240" w:lineRule="auto"/>
              <w:ind w:firstLine="0" w:firstLineChars="0"/>
              <w:rPr>
                <w:sz w:val="21"/>
                <w:szCs w:val="21"/>
                <w:lang w:eastAsia="en-US"/>
              </w:rPr>
            </w:pPr>
            <w:r>
              <w:rPr>
                <w:rFonts w:hint="eastAsia"/>
                <w:sz w:val="21"/>
                <w:szCs w:val="21"/>
                <w:lang w:eastAsia="en-US"/>
              </w:rPr>
              <w:t>省应急厅牵头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exac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sz w:val="21"/>
                <w:szCs w:val="21"/>
                <w:lang w:eastAsia="en-US"/>
              </w:rPr>
              <w:t>后勤保障组</w:t>
            </w:r>
          </w:p>
        </w:tc>
        <w:tc>
          <w:tcPr>
            <w:tcW w:w="6378" w:type="dxa"/>
            <w:shd w:val="clear" w:color="auto" w:fill="auto"/>
            <w:vAlign w:val="center"/>
          </w:tcPr>
          <w:p>
            <w:pPr>
              <w:pStyle w:val="42"/>
              <w:numPr>
                <w:ilvl w:val="0"/>
                <w:numId w:val="6"/>
              </w:numPr>
              <w:spacing w:line="240" w:lineRule="auto"/>
              <w:ind w:firstLineChars="0"/>
              <w:rPr>
                <w:sz w:val="21"/>
                <w:szCs w:val="21"/>
              </w:rPr>
            </w:pPr>
            <w:r>
              <w:rPr>
                <w:rFonts w:hint="eastAsia"/>
                <w:sz w:val="21"/>
                <w:szCs w:val="21"/>
              </w:rPr>
              <w:t>根据事故处置工作需求，及时提供物资、装备、食品、交通、供电、供水、供气和通信等方面的后勤服务和资源保障</w:t>
            </w:r>
          </w:p>
          <w:p>
            <w:pPr>
              <w:pStyle w:val="42"/>
              <w:numPr>
                <w:ilvl w:val="0"/>
                <w:numId w:val="6"/>
              </w:numPr>
              <w:spacing w:line="240" w:lineRule="auto"/>
              <w:ind w:firstLineChars="0"/>
              <w:rPr>
                <w:sz w:val="21"/>
                <w:szCs w:val="21"/>
              </w:rPr>
            </w:pPr>
            <w:r>
              <w:rPr>
                <w:rFonts w:hint="eastAsia"/>
                <w:sz w:val="21"/>
                <w:szCs w:val="21"/>
              </w:rPr>
              <w:t>做好受灾群众、遇难（失联）人员亲属信息登记、食宿接待和安抚疏导等工作</w:t>
            </w:r>
          </w:p>
          <w:p>
            <w:pPr>
              <w:pStyle w:val="42"/>
              <w:numPr>
                <w:ilvl w:val="0"/>
                <w:numId w:val="6"/>
              </w:numPr>
              <w:spacing w:line="240" w:lineRule="auto"/>
              <w:ind w:firstLineChars="0"/>
              <w:rPr>
                <w:sz w:val="21"/>
                <w:szCs w:val="21"/>
              </w:rPr>
            </w:pPr>
            <w:r>
              <w:rPr>
                <w:rFonts w:hint="eastAsia"/>
                <w:sz w:val="21"/>
                <w:szCs w:val="21"/>
              </w:rPr>
              <w:t>负责遇难者遗体处置等工作</w:t>
            </w:r>
          </w:p>
          <w:p>
            <w:pPr>
              <w:pStyle w:val="42"/>
              <w:numPr>
                <w:ilvl w:val="0"/>
                <w:numId w:val="6"/>
              </w:numPr>
              <w:spacing w:line="240" w:lineRule="auto"/>
              <w:ind w:firstLineChars="0"/>
              <w:rPr>
                <w:sz w:val="21"/>
                <w:szCs w:val="21"/>
              </w:rPr>
            </w:pPr>
            <w:r>
              <w:rPr>
                <w:rFonts w:hint="eastAsia"/>
                <w:sz w:val="21"/>
                <w:szCs w:val="21"/>
              </w:rPr>
              <w:t>负责遇难和受灾人员的经济补偿等工作</w:t>
            </w:r>
          </w:p>
          <w:p>
            <w:pPr>
              <w:pStyle w:val="42"/>
              <w:numPr>
                <w:ilvl w:val="0"/>
                <w:numId w:val="6"/>
              </w:numPr>
              <w:spacing w:line="240" w:lineRule="auto"/>
              <w:ind w:firstLineChars="0"/>
              <w:rPr>
                <w:sz w:val="21"/>
                <w:szCs w:val="21"/>
              </w:rPr>
            </w:pPr>
            <w:r>
              <w:rPr>
                <w:rFonts w:hint="eastAsia"/>
                <w:sz w:val="21"/>
                <w:szCs w:val="21"/>
              </w:rPr>
              <w:t>负责灾后恢复重建等工作</w:t>
            </w:r>
          </w:p>
        </w:tc>
        <w:tc>
          <w:tcPr>
            <w:tcW w:w="3854" w:type="dxa"/>
            <w:shd w:val="clear" w:color="auto" w:fill="auto"/>
            <w:vAlign w:val="center"/>
          </w:tcPr>
          <w:p>
            <w:pPr>
              <w:pStyle w:val="42"/>
              <w:spacing w:line="240" w:lineRule="auto"/>
              <w:ind w:firstLine="0" w:firstLineChars="0"/>
              <w:rPr>
                <w:sz w:val="21"/>
                <w:szCs w:val="21"/>
              </w:rPr>
            </w:pPr>
            <w:r>
              <w:rPr>
                <w:rFonts w:hint="eastAsia"/>
                <w:sz w:val="21"/>
                <w:szCs w:val="21"/>
              </w:rPr>
              <w:t>省应急厅、省卫健委、省工信厅、海南电网公司、海南铁路有限公司、省通信管理局、民航海南安全监管局、事发地人民政府等部门和单位</w:t>
            </w:r>
          </w:p>
        </w:tc>
        <w:tc>
          <w:tcPr>
            <w:tcW w:w="1616" w:type="dxa"/>
            <w:shd w:val="clear" w:color="auto" w:fill="auto"/>
            <w:vAlign w:val="center"/>
          </w:tcPr>
          <w:p>
            <w:pPr>
              <w:pStyle w:val="42"/>
              <w:spacing w:line="240" w:lineRule="auto"/>
              <w:ind w:firstLine="0" w:firstLineChars="0"/>
              <w:rPr>
                <w:sz w:val="21"/>
                <w:szCs w:val="21"/>
                <w:lang w:eastAsia="en-US"/>
              </w:rPr>
            </w:pPr>
            <w:r>
              <w:rPr>
                <w:rFonts w:hint="eastAsia"/>
                <w:sz w:val="21"/>
                <w:szCs w:val="21"/>
                <w:lang w:eastAsia="en-US"/>
              </w:rPr>
              <w:t>省应急厅</w:t>
            </w:r>
            <w:r>
              <w:rPr>
                <w:sz w:val="21"/>
                <w:szCs w:val="21"/>
                <w:lang w:eastAsia="en-US"/>
              </w:rPr>
              <w:t>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10" w:hRule="exac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现场救援</w:t>
            </w:r>
            <w:r>
              <w:rPr>
                <w:sz w:val="21"/>
                <w:szCs w:val="21"/>
                <w:lang w:eastAsia="en-US"/>
              </w:rPr>
              <w:t>组</w:t>
            </w:r>
          </w:p>
        </w:tc>
        <w:tc>
          <w:tcPr>
            <w:tcW w:w="6378" w:type="dxa"/>
            <w:shd w:val="clear" w:color="auto" w:fill="auto"/>
            <w:vAlign w:val="center"/>
          </w:tcPr>
          <w:p>
            <w:pPr>
              <w:pStyle w:val="42"/>
              <w:numPr>
                <w:ilvl w:val="0"/>
                <w:numId w:val="7"/>
              </w:numPr>
              <w:spacing w:line="240" w:lineRule="auto"/>
              <w:ind w:firstLineChars="0"/>
              <w:rPr>
                <w:sz w:val="21"/>
                <w:szCs w:val="21"/>
              </w:rPr>
            </w:pPr>
            <w:r>
              <w:rPr>
                <w:rFonts w:hint="eastAsia"/>
                <w:sz w:val="21"/>
                <w:szCs w:val="21"/>
              </w:rPr>
              <w:t>实施事故处置、人员搜救、工程抢险和事故现场清理等工作</w:t>
            </w:r>
          </w:p>
          <w:p>
            <w:pPr>
              <w:pStyle w:val="42"/>
              <w:numPr>
                <w:ilvl w:val="0"/>
                <w:numId w:val="7"/>
              </w:numPr>
              <w:spacing w:line="240" w:lineRule="auto"/>
              <w:ind w:firstLineChars="0"/>
              <w:rPr>
                <w:sz w:val="21"/>
                <w:szCs w:val="21"/>
              </w:rPr>
            </w:pPr>
            <w:r>
              <w:rPr>
                <w:rFonts w:hint="eastAsia"/>
                <w:sz w:val="21"/>
                <w:szCs w:val="21"/>
              </w:rPr>
              <w:t>控制危险源，防止次生、衍生事故发生</w:t>
            </w:r>
          </w:p>
          <w:p>
            <w:pPr>
              <w:pStyle w:val="42"/>
              <w:numPr>
                <w:ilvl w:val="0"/>
                <w:numId w:val="7"/>
              </w:numPr>
              <w:spacing w:line="240" w:lineRule="auto"/>
              <w:ind w:firstLineChars="0"/>
              <w:rPr>
                <w:sz w:val="21"/>
                <w:szCs w:val="21"/>
              </w:rPr>
            </w:pPr>
            <w:r>
              <w:rPr>
                <w:rFonts w:hint="eastAsia"/>
                <w:sz w:val="21"/>
                <w:szCs w:val="21"/>
              </w:rPr>
              <w:t>为事故调查收集有关资料</w:t>
            </w:r>
          </w:p>
          <w:p>
            <w:pPr>
              <w:pStyle w:val="42"/>
              <w:numPr>
                <w:ilvl w:val="0"/>
                <w:numId w:val="7"/>
              </w:numPr>
              <w:spacing w:line="240" w:lineRule="auto"/>
              <w:ind w:firstLineChars="0"/>
              <w:rPr>
                <w:sz w:val="21"/>
                <w:szCs w:val="21"/>
              </w:rPr>
            </w:pPr>
            <w:r>
              <w:rPr>
                <w:rFonts w:hint="eastAsia"/>
                <w:sz w:val="21"/>
                <w:szCs w:val="21"/>
              </w:rPr>
              <w:t>调度全省医疗队伍，设立临时医疗点，协调外部医疗机构</w:t>
            </w:r>
          </w:p>
          <w:p>
            <w:pPr>
              <w:pStyle w:val="42"/>
              <w:numPr>
                <w:ilvl w:val="0"/>
                <w:numId w:val="7"/>
              </w:numPr>
              <w:spacing w:line="240" w:lineRule="auto"/>
              <w:ind w:firstLineChars="0"/>
              <w:rPr>
                <w:sz w:val="21"/>
                <w:szCs w:val="21"/>
              </w:rPr>
            </w:pPr>
            <w:r>
              <w:rPr>
                <w:rFonts w:hint="eastAsia"/>
                <w:sz w:val="21"/>
                <w:szCs w:val="21"/>
              </w:rPr>
              <w:t>为事故受伤人员、救援人员提供医疗保障服务</w:t>
            </w:r>
          </w:p>
          <w:p>
            <w:pPr>
              <w:pStyle w:val="42"/>
              <w:numPr>
                <w:ilvl w:val="0"/>
                <w:numId w:val="7"/>
              </w:numPr>
              <w:spacing w:line="240" w:lineRule="auto"/>
              <w:ind w:firstLineChars="0"/>
              <w:rPr>
                <w:sz w:val="21"/>
                <w:szCs w:val="21"/>
              </w:rPr>
            </w:pPr>
            <w:r>
              <w:rPr>
                <w:rFonts w:hint="eastAsia"/>
                <w:sz w:val="21"/>
                <w:szCs w:val="21"/>
              </w:rPr>
              <w:t>负责现场救援区域的防疫消毒</w:t>
            </w:r>
          </w:p>
          <w:p>
            <w:pPr>
              <w:pStyle w:val="42"/>
              <w:numPr>
                <w:ilvl w:val="0"/>
                <w:numId w:val="7"/>
              </w:numPr>
              <w:spacing w:line="240" w:lineRule="auto"/>
              <w:ind w:firstLineChars="0"/>
              <w:rPr>
                <w:sz w:val="21"/>
                <w:szCs w:val="21"/>
              </w:rPr>
            </w:pPr>
            <w:r>
              <w:rPr>
                <w:rFonts w:hint="eastAsia"/>
                <w:sz w:val="21"/>
                <w:szCs w:val="21"/>
              </w:rPr>
              <w:t>向受伤人员和受灾群众提供心理咨询和帮助</w:t>
            </w:r>
          </w:p>
        </w:tc>
        <w:tc>
          <w:tcPr>
            <w:tcW w:w="3854" w:type="dxa"/>
            <w:shd w:val="clear" w:color="auto" w:fill="auto"/>
            <w:vAlign w:val="center"/>
          </w:tcPr>
          <w:p>
            <w:pPr>
              <w:pStyle w:val="42"/>
              <w:spacing w:line="240" w:lineRule="auto"/>
              <w:ind w:firstLine="0" w:firstLineChars="0"/>
              <w:rPr>
                <w:sz w:val="21"/>
                <w:szCs w:val="21"/>
              </w:rPr>
            </w:pPr>
            <w:r>
              <w:rPr>
                <w:rFonts w:hint="eastAsia"/>
                <w:sz w:val="21"/>
                <w:szCs w:val="21"/>
              </w:rPr>
              <w:t>省消防救援总队、省卫健委、省公安厅、省交通运输厅、海南海事局、事发地人民政府等部门和单位、应急专家</w:t>
            </w:r>
          </w:p>
        </w:tc>
        <w:tc>
          <w:tcPr>
            <w:tcW w:w="1616" w:type="dxa"/>
            <w:shd w:val="clear" w:color="auto" w:fill="auto"/>
            <w:vAlign w:val="center"/>
          </w:tcPr>
          <w:p>
            <w:pPr>
              <w:pStyle w:val="42"/>
              <w:spacing w:line="240" w:lineRule="auto"/>
              <w:ind w:firstLine="0" w:firstLineChars="0"/>
              <w:rPr>
                <w:sz w:val="21"/>
                <w:szCs w:val="21"/>
              </w:rPr>
            </w:pPr>
            <w:r>
              <w:rPr>
                <w:rFonts w:hint="eastAsia"/>
                <w:sz w:val="21"/>
                <w:szCs w:val="21"/>
              </w:rPr>
              <w:t>事发地市县人民政府</w:t>
            </w:r>
            <w:r>
              <w:rPr>
                <w:sz w:val="21"/>
                <w:szCs w:val="21"/>
              </w:rPr>
              <w:t>牵头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9" w:hRule="exact"/>
          <w:jc w:val="center"/>
        </w:trPr>
        <w:tc>
          <w:tcPr>
            <w:tcW w:w="1388" w:type="dxa"/>
            <w:shd w:val="clear" w:color="auto" w:fill="auto"/>
            <w:vAlign w:val="center"/>
          </w:tcPr>
          <w:p>
            <w:pPr>
              <w:pStyle w:val="42"/>
              <w:spacing w:line="240" w:lineRule="auto"/>
              <w:ind w:firstLine="0" w:firstLineChars="0"/>
              <w:jc w:val="center"/>
              <w:rPr>
                <w:sz w:val="21"/>
                <w:szCs w:val="21"/>
                <w:lang w:eastAsia="en-US"/>
              </w:rPr>
            </w:pPr>
            <w:r>
              <w:rPr>
                <w:rFonts w:hint="eastAsia"/>
                <w:sz w:val="21"/>
                <w:szCs w:val="21"/>
                <w:lang w:eastAsia="en-US"/>
              </w:rPr>
              <w:t>新闻发布</w:t>
            </w:r>
            <w:r>
              <w:rPr>
                <w:sz w:val="21"/>
                <w:szCs w:val="21"/>
                <w:lang w:eastAsia="en-US"/>
              </w:rPr>
              <w:t>组</w:t>
            </w:r>
          </w:p>
        </w:tc>
        <w:tc>
          <w:tcPr>
            <w:tcW w:w="6378" w:type="dxa"/>
            <w:shd w:val="clear" w:color="auto" w:fill="auto"/>
            <w:vAlign w:val="center"/>
          </w:tcPr>
          <w:p>
            <w:pPr>
              <w:pStyle w:val="42"/>
              <w:numPr>
                <w:ilvl w:val="0"/>
                <w:numId w:val="8"/>
              </w:numPr>
              <w:spacing w:line="240" w:lineRule="auto"/>
              <w:ind w:firstLineChars="0"/>
              <w:rPr>
                <w:sz w:val="21"/>
                <w:szCs w:val="21"/>
              </w:rPr>
            </w:pPr>
            <w:r>
              <w:rPr>
                <w:rFonts w:hint="eastAsia"/>
                <w:sz w:val="21"/>
                <w:szCs w:val="21"/>
              </w:rPr>
              <w:t>统筹协调媒体的现场管理，做好事件舆论引导工作，组织新闻发布工作</w:t>
            </w:r>
          </w:p>
          <w:p>
            <w:pPr>
              <w:pStyle w:val="42"/>
              <w:numPr>
                <w:ilvl w:val="0"/>
                <w:numId w:val="8"/>
              </w:numPr>
              <w:spacing w:line="240" w:lineRule="auto"/>
              <w:ind w:firstLineChars="0"/>
              <w:rPr>
                <w:sz w:val="21"/>
                <w:szCs w:val="21"/>
              </w:rPr>
            </w:pPr>
            <w:r>
              <w:rPr>
                <w:rFonts w:hint="eastAsia"/>
                <w:sz w:val="21"/>
                <w:szCs w:val="21"/>
              </w:rPr>
              <w:t>负责新闻发布和集体采访活动的组织工作</w:t>
            </w:r>
          </w:p>
          <w:p>
            <w:pPr>
              <w:pStyle w:val="42"/>
              <w:numPr>
                <w:ilvl w:val="0"/>
                <w:numId w:val="8"/>
              </w:numPr>
              <w:spacing w:line="240" w:lineRule="auto"/>
              <w:ind w:firstLineChars="0"/>
              <w:rPr>
                <w:sz w:val="21"/>
                <w:szCs w:val="21"/>
              </w:rPr>
            </w:pPr>
            <w:r>
              <w:rPr>
                <w:rFonts w:hint="eastAsia"/>
                <w:sz w:val="21"/>
                <w:szCs w:val="21"/>
              </w:rPr>
              <w:t>负责境内外媒体沟通协调和组织联络工作</w:t>
            </w:r>
          </w:p>
          <w:p>
            <w:pPr>
              <w:pStyle w:val="42"/>
              <w:numPr>
                <w:ilvl w:val="0"/>
                <w:numId w:val="8"/>
              </w:numPr>
              <w:spacing w:line="240" w:lineRule="auto"/>
              <w:ind w:firstLineChars="0"/>
              <w:rPr>
                <w:sz w:val="21"/>
                <w:szCs w:val="21"/>
              </w:rPr>
            </w:pPr>
            <w:r>
              <w:rPr>
                <w:rFonts w:hint="eastAsia"/>
                <w:sz w:val="21"/>
                <w:szCs w:val="21"/>
              </w:rPr>
              <w:t>向省指挥部和事故相关单位、辖区政府通报舆情进展，提出应对建议</w:t>
            </w:r>
          </w:p>
        </w:tc>
        <w:tc>
          <w:tcPr>
            <w:tcW w:w="3854" w:type="dxa"/>
            <w:shd w:val="clear" w:color="auto" w:fill="auto"/>
            <w:vAlign w:val="center"/>
          </w:tcPr>
          <w:p>
            <w:pPr>
              <w:pStyle w:val="42"/>
              <w:spacing w:line="240" w:lineRule="auto"/>
              <w:ind w:firstLine="0" w:firstLineChars="0"/>
              <w:rPr>
                <w:sz w:val="21"/>
                <w:szCs w:val="21"/>
              </w:rPr>
            </w:pPr>
            <w:r>
              <w:rPr>
                <w:rFonts w:hint="eastAsia"/>
                <w:sz w:val="21"/>
                <w:szCs w:val="21"/>
              </w:rPr>
              <w:t xml:space="preserve">省委宣传部、省委网信办、省应急厅、事发地人民政府等部门和单位 </w:t>
            </w:r>
          </w:p>
        </w:tc>
        <w:tc>
          <w:tcPr>
            <w:tcW w:w="1616" w:type="dxa"/>
            <w:shd w:val="clear" w:color="auto" w:fill="auto"/>
            <w:vAlign w:val="center"/>
          </w:tcPr>
          <w:p>
            <w:pPr>
              <w:pStyle w:val="42"/>
              <w:spacing w:line="240" w:lineRule="auto"/>
              <w:ind w:firstLine="0" w:firstLineChars="0"/>
              <w:rPr>
                <w:sz w:val="21"/>
                <w:szCs w:val="21"/>
                <w:lang w:eastAsia="en-US"/>
              </w:rPr>
            </w:pPr>
            <w:r>
              <w:rPr>
                <w:sz w:val="21"/>
                <w:szCs w:val="21"/>
                <w:lang w:eastAsia="en-US"/>
              </w:rPr>
              <w:t>省委宣传部牵头</w:t>
            </w:r>
          </w:p>
        </w:tc>
      </w:tr>
    </w:tbl>
    <w:p>
      <w:pPr>
        <w:sectPr>
          <w:pgSz w:w="16838" w:h="11906" w:orient="landscape"/>
          <w:pgMar w:top="2098" w:right="1797" w:bottom="1588" w:left="1797" w:header="851" w:footer="0" w:gutter="0"/>
          <w:pgNumType w:fmt="numberInDash"/>
          <w:cols w:space="425" w:num="1"/>
          <w:docGrid w:type="linesAndChars" w:linePitch="332" w:charSpace="0"/>
        </w:sectPr>
      </w:pPr>
    </w:p>
    <w:p>
      <w:pPr>
        <w:pStyle w:val="3"/>
      </w:pPr>
      <w:bookmarkStart w:id="31" w:name="_Toc88516183"/>
      <w:r>
        <w:rPr>
          <w:rFonts w:hint="eastAsia"/>
        </w:rPr>
        <w:t>3</w:t>
      </w:r>
      <w:r>
        <w:t>.</w:t>
      </w:r>
      <w:r>
        <w:rPr>
          <w:rFonts w:hint="eastAsia"/>
        </w:rPr>
        <w:t>4</w:t>
      </w:r>
      <w:r>
        <w:t xml:space="preserve"> </w:t>
      </w:r>
      <w:r>
        <w:rPr>
          <w:rFonts w:hint="eastAsia"/>
        </w:rPr>
        <w:t>部门</w:t>
      </w:r>
      <w:r>
        <w:t>职责</w:t>
      </w:r>
      <w:bookmarkEnd w:id="27"/>
      <w:bookmarkEnd w:id="28"/>
      <w:bookmarkEnd w:id="29"/>
      <w:bookmarkEnd w:id="31"/>
    </w:p>
    <w:p>
      <w:bookmarkStart w:id="32" w:name="_Toc35332867"/>
      <w:bookmarkStart w:id="33" w:name="_Toc26731452"/>
      <w:r>
        <w:rPr>
          <w:rFonts w:hint="eastAsia"/>
        </w:rPr>
        <w:t>省人民政府其他</w:t>
      </w:r>
      <w:r>
        <w:t>有关部门根据相关应急预案，</w:t>
      </w:r>
      <w:r>
        <w:rPr>
          <w:rFonts w:hint="eastAsia"/>
        </w:rPr>
        <w:t>参与危险化学品生产安全事故</w:t>
      </w:r>
      <w:r>
        <w:t>的应急救援工作，为事故</w:t>
      </w:r>
      <w:r>
        <w:rPr>
          <w:rFonts w:hint="eastAsia"/>
        </w:rPr>
        <w:t>应急救援处置</w:t>
      </w:r>
      <w:r>
        <w:t>提供</w:t>
      </w:r>
      <w:r>
        <w:rPr>
          <w:rFonts w:hint="eastAsia"/>
        </w:rPr>
        <w:t>应急</w:t>
      </w:r>
      <w:r>
        <w:t>保障。</w:t>
      </w:r>
      <w:r>
        <w:rPr>
          <w:rFonts w:hint="eastAsia"/>
        </w:rPr>
        <w:t>（职责详见附则 9.</w:t>
      </w:r>
      <w:r>
        <w:t>1</w:t>
      </w:r>
      <w:r>
        <w:rPr>
          <w:rFonts w:hint="eastAsia"/>
        </w:rPr>
        <w:t>）</w:t>
      </w:r>
    </w:p>
    <w:p>
      <w:pPr>
        <w:pStyle w:val="3"/>
      </w:pPr>
      <w:bookmarkStart w:id="34" w:name="_Toc88516184"/>
      <w:r>
        <w:rPr>
          <w:rFonts w:hint="eastAsia"/>
        </w:rPr>
        <w:t>3.5</w:t>
      </w:r>
      <w:r>
        <w:t xml:space="preserve"> </w:t>
      </w:r>
      <w:r>
        <w:rPr>
          <w:rFonts w:hint="eastAsia"/>
        </w:rPr>
        <w:t>应急救援专家</w:t>
      </w:r>
      <w:bookmarkEnd w:id="32"/>
      <w:bookmarkEnd w:id="33"/>
      <w:bookmarkEnd w:id="34"/>
    </w:p>
    <w:p>
      <w:bookmarkStart w:id="35" w:name="_Toc351050350"/>
      <w:bookmarkStart w:id="36" w:name="_Toc18994"/>
      <w:bookmarkStart w:id="37" w:name="_Toc7368"/>
      <w:r>
        <w:rPr>
          <w:rFonts w:hint="eastAsia"/>
        </w:rPr>
        <w:t>危险化学品应急救援专家组（以下简称“专家组”），由危险化学品领域和其他相关行业技术和管理专家组成。</w:t>
      </w:r>
    </w:p>
    <w:p>
      <w:r>
        <w:rPr>
          <w:rFonts w:hint="eastAsia"/>
        </w:rPr>
        <w:t>相关专家接到指令后应尽快赶赴指定地点或通过网络、电话联络等手段，为应急救援工作提供专业咨询和技术支持，为事故救援处置提供辅助决策建议，必要时可参与现场技术鉴定工作。</w:t>
      </w:r>
    </w:p>
    <w:p>
      <w:pPr>
        <w:pStyle w:val="3"/>
      </w:pPr>
      <w:bookmarkStart w:id="38" w:name="_Toc88516185"/>
      <w:r>
        <w:rPr>
          <w:rFonts w:hint="eastAsia"/>
        </w:rPr>
        <w:t>3.6</w:t>
      </w:r>
      <w:r>
        <w:t xml:space="preserve"> </w:t>
      </w:r>
      <w:r>
        <w:rPr>
          <w:rFonts w:hint="eastAsia"/>
        </w:rPr>
        <w:t>应急救援队伍</w:t>
      </w:r>
      <w:bookmarkEnd w:id="38"/>
    </w:p>
    <w:p>
      <w:r>
        <w:rPr>
          <w:rFonts w:hint="eastAsia"/>
        </w:rPr>
        <w:t>危险化学品生产安全事故应急救援队伍主要包括综合应急救援队伍、专业应急救援队伍、企业应急救援队伍、志愿者应急救援队伍等。必要时，可协调驻琼部队和</w:t>
      </w:r>
      <w:r>
        <w:t>国家危险化学品应急救援洋浦基地</w:t>
      </w:r>
      <w:r>
        <w:rPr>
          <w:rFonts w:hint="eastAsia"/>
        </w:rPr>
        <w:t>救援队伍参与应急救援。</w:t>
      </w:r>
    </w:p>
    <w:p>
      <w:r>
        <w:rPr>
          <w:rFonts w:hint="eastAsia"/>
        </w:rPr>
        <w:t>（</w:t>
      </w:r>
      <w:r>
        <w:rPr>
          <w:rFonts w:hint="eastAsia" w:ascii="Times New Roman" w:hAnsi="Times New Roman"/>
        </w:rPr>
        <w:t>1</w:t>
      </w:r>
      <w:r>
        <w:rPr>
          <w:rFonts w:hint="eastAsia"/>
        </w:rPr>
        <w:t>）综合应急救援队伍</w:t>
      </w:r>
      <w:r>
        <w:rPr>
          <w:rFonts w:hint="eastAsia"/>
          <w:szCs w:val="32"/>
        </w:rPr>
        <w:t>依托各地消防救援队伍建立，主要</w:t>
      </w:r>
      <w:r>
        <w:rPr>
          <w:rFonts w:hint="eastAsia"/>
        </w:rPr>
        <w:t>负责危险化学品生产安全事故中火灾扑救、人员搜救、现场清理等工作，负责控制危险源，防止事故扩大及次生灾害发生，承担危险化学品生产安全事故综合应急救援任务。</w:t>
      </w:r>
    </w:p>
    <w:p>
      <w:r>
        <w:rPr>
          <w:rFonts w:hint="eastAsia"/>
        </w:rPr>
        <w:t>（</w:t>
      </w:r>
      <w:r>
        <w:rPr>
          <w:rFonts w:hint="eastAsia" w:ascii="Times New Roman" w:hAnsi="Times New Roman"/>
        </w:rPr>
        <w:t>2</w:t>
      </w:r>
      <w:r>
        <w:rPr>
          <w:rFonts w:hint="eastAsia"/>
        </w:rPr>
        <w:t>）专业应急救援队伍</w:t>
      </w:r>
      <w:r>
        <w:rPr>
          <w:rFonts w:hint="eastAsia"/>
          <w:szCs w:val="32"/>
        </w:rPr>
        <w:t>由市县各行业主管部门组织建立，</w:t>
      </w:r>
      <w:r>
        <w:rPr>
          <w:rFonts w:hint="eastAsia"/>
        </w:rPr>
        <w:t>主要负责危险化学品生产安全事故现场监测、危险化学品泄漏控制、有毒有害物质处置、城镇燃气救援、酸碱化学品处置、危险化学品转输吊装等工作，与其他应急救援队伍协同处置危险化学品生产安全事故应急救援工作，并提供专业技术支持；参与应急演练，不断提高队伍的实战能力；加强应急救援装备、器材和物资的储备和管理，保持其性能和状态良好。其他专业应急救援队伍按照各自的职责开展环境污染、交通、卫生、燃气、建筑工程、通信保障、电力、给排水等专业救援任务。</w:t>
      </w:r>
    </w:p>
    <w:p>
      <w:r>
        <w:rPr>
          <w:rFonts w:hint="eastAsia"/>
        </w:rPr>
        <w:t>（</w:t>
      </w:r>
      <w:r>
        <w:rPr>
          <w:rFonts w:hint="eastAsia" w:ascii="Times New Roman" w:hAnsi="Times New Roman"/>
        </w:rPr>
        <w:t>3</w:t>
      </w:r>
      <w:r>
        <w:rPr>
          <w:rFonts w:hint="eastAsia"/>
        </w:rPr>
        <w:t>）企业应急救援队伍</w:t>
      </w:r>
      <w:r>
        <w:rPr>
          <w:rFonts w:hint="eastAsia"/>
          <w:szCs w:val="32"/>
        </w:rPr>
        <w:t>由生产经营企业依法组建，</w:t>
      </w:r>
      <w:r>
        <w:rPr>
          <w:rFonts w:hint="eastAsia"/>
        </w:rPr>
        <w:t>负责本单位危险化学品生产安全事故的先期处置和应急救援工作，配合综合应急救援队伍、专业应急救援队伍开展抢险救援；按照编制的危险化学品生产安全事故应急预案，定期组织演练。</w:t>
      </w:r>
    </w:p>
    <w:p>
      <w:r>
        <w:rPr>
          <w:rFonts w:hint="eastAsia"/>
        </w:rPr>
        <w:t>（</w:t>
      </w:r>
      <w:r>
        <w:rPr>
          <w:rFonts w:hint="eastAsia" w:ascii="Times New Roman" w:hAnsi="Times New Roman"/>
        </w:rPr>
        <w:t>4</w:t>
      </w:r>
      <w:r>
        <w:rPr>
          <w:rFonts w:hint="eastAsia"/>
        </w:rPr>
        <w:t>）志愿者应急救援队伍</w:t>
      </w:r>
      <w:r>
        <w:rPr>
          <w:rFonts w:hint="eastAsia"/>
          <w:szCs w:val="32"/>
        </w:rPr>
        <w:t>由有相关知识、经验和资质的志愿者组成，</w:t>
      </w:r>
      <w:r>
        <w:rPr>
          <w:rFonts w:hint="eastAsia"/>
        </w:rPr>
        <w:t>参与防灾避险、疏散安置、急救技能等应急知识的宣传、教育和普及工作，参与危险化学品生产安全事故的信息报告、抢险救援、卫生防疫、群众安置、设施抢修和心理疏导等工作。</w:t>
      </w:r>
    </w:p>
    <w:p>
      <w:r>
        <w:rPr>
          <w:rFonts w:hint="eastAsia"/>
        </w:rPr>
        <w:t>各应急救援队伍接到调度指令后，应立即启动应急响应行动，携带专业救援装备器材，尽快赶赴事故现场。应急救援队伍应在市县级指挥机构统一指挥下，发挥专长，相互协作、科学施救。</w:t>
      </w:r>
    </w:p>
    <w:bookmarkEnd w:id="35"/>
    <w:bookmarkEnd w:id="36"/>
    <w:bookmarkEnd w:id="37"/>
    <w:p>
      <w:pPr>
        <w:ind w:firstLine="0" w:firstLineChars="0"/>
      </w:pPr>
      <w:bookmarkStart w:id="39" w:name="_Toc26731456"/>
      <w:bookmarkStart w:id="40" w:name="_Toc35332871"/>
      <w:bookmarkStart w:id="41" w:name="_Toc88516186"/>
      <w:r>
        <w:rPr>
          <w:rFonts w:ascii="Times New Roman" w:hAnsi="Times New Roman" w:eastAsia="黑体" w:cs="黑体"/>
          <w:b/>
          <w:bCs/>
          <w:kern w:val="44"/>
          <w:sz w:val="36"/>
          <w:szCs w:val="44"/>
        </w:rPr>
        <w:t>4</w:t>
      </w:r>
      <w:bookmarkEnd w:id="39"/>
      <w:bookmarkEnd w:id="40"/>
      <w:r>
        <w:rPr>
          <w:rFonts w:hint="eastAsia" w:ascii="Times New Roman" w:hAnsi="Times New Roman" w:eastAsia="黑体" w:cs="黑体"/>
          <w:b/>
          <w:bCs/>
          <w:kern w:val="44"/>
          <w:sz w:val="36"/>
          <w:szCs w:val="44"/>
        </w:rPr>
        <w:t xml:space="preserve"> 预警与信息报告</w:t>
      </w:r>
      <w:bookmarkEnd w:id="41"/>
    </w:p>
    <w:p>
      <w:pPr>
        <w:pStyle w:val="3"/>
      </w:pPr>
      <w:bookmarkStart w:id="42" w:name="_Toc35332874"/>
      <w:bookmarkStart w:id="43" w:name="_Toc36126142"/>
      <w:bookmarkStart w:id="44" w:name="_Toc35593630"/>
      <w:bookmarkStart w:id="45" w:name="_Toc35432330"/>
      <w:bookmarkStart w:id="46" w:name="_Toc88516187"/>
      <w:r>
        <w:rPr>
          <w:rFonts w:hint="eastAsia"/>
        </w:rPr>
        <w:t>4</w:t>
      </w:r>
      <w:r>
        <w:t>.</w:t>
      </w:r>
      <w:r>
        <w:rPr>
          <w:rFonts w:hint="eastAsia"/>
        </w:rPr>
        <w:t>1</w:t>
      </w:r>
      <w:r>
        <w:t xml:space="preserve"> 监测</w:t>
      </w:r>
      <w:bookmarkEnd w:id="42"/>
      <w:bookmarkEnd w:id="43"/>
      <w:bookmarkEnd w:id="44"/>
      <w:bookmarkEnd w:id="45"/>
      <w:bookmarkEnd w:id="46"/>
    </w:p>
    <w:p>
      <w:r>
        <w:rPr>
          <w:rFonts w:hint="eastAsia"/>
        </w:rPr>
        <w:t>省各级人民政府和有关部门要加强对可能造成事故因素（如：高温、恶劣天气等）的监测，及时上报可能引发重大及以上危险化学品生产安全事故的险情并发布预警。</w:t>
      </w:r>
    </w:p>
    <w:p>
      <w:r>
        <w:rPr>
          <w:rFonts w:hint="eastAsia"/>
        </w:rPr>
        <w:t>各级人民政府和有关部门要以安全管理综合信息系统为基础，逐步建立危险化学品企业生产、经营、储存、使用等环节相关数据库，形成政府监督管理、企业申报信息、数据共建共享。</w:t>
      </w:r>
    </w:p>
    <w:p>
      <w:pPr>
        <w:pStyle w:val="3"/>
      </w:pPr>
      <w:bookmarkStart w:id="47" w:name="_Toc35332875"/>
      <w:bookmarkStart w:id="48" w:name="_Toc35593631"/>
      <w:bookmarkStart w:id="49" w:name="_Toc36126143"/>
      <w:bookmarkStart w:id="50" w:name="_Toc88516188"/>
      <w:bookmarkStart w:id="51" w:name="_Toc35432331"/>
      <w:r>
        <w:rPr>
          <w:rFonts w:hint="eastAsia"/>
        </w:rPr>
        <w:t>4.2 预警</w:t>
      </w:r>
      <w:bookmarkEnd w:id="47"/>
      <w:bookmarkEnd w:id="48"/>
      <w:bookmarkEnd w:id="49"/>
      <w:bookmarkEnd w:id="50"/>
      <w:bookmarkEnd w:id="51"/>
    </w:p>
    <w:p>
      <w:r>
        <w:rPr>
          <w:rFonts w:hint="eastAsia"/>
        </w:rPr>
        <w:t>可以预警的危险化学品生产安全事故的预警级别，按照突发事件发生的紧急程度、发展态势和可能造成的危害程度由高到低分为一级、二级、三级、四级，分别用红色、橙色、黄色和蓝色标示。预警信息实行动态管理制度：发布预警信息的人民政府要根据事态的发展，适时调整预警级别和宣布解除警报，并重新发布、报告和通报有关情况。</w:t>
      </w:r>
    </w:p>
    <w:p>
      <w:r>
        <w:rPr>
          <w:rFonts w:hint="eastAsia"/>
        </w:rPr>
        <w:t>由省各级人民政府和有关部门根据预警发布权限规定，通过相关公共信息平台，发布危险化学品生产安全事故预警信息。预警信息包括发布单位、发布时间、可能发生突发事件的类别、可能影响时间和范围、预警级别、警示事项、事态发展、政府相关措施、咨询渠道等内容。</w:t>
      </w:r>
    </w:p>
    <w:p>
      <w:pPr>
        <w:pStyle w:val="3"/>
      </w:pPr>
      <w:bookmarkStart w:id="52" w:name="_Toc88516189"/>
      <w:r>
        <w:rPr>
          <w:rFonts w:hint="eastAsia"/>
        </w:rPr>
        <w:t>4.3 信息上报</w:t>
      </w:r>
      <w:bookmarkEnd w:id="52"/>
    </w:p>
    <w:p>
      <w:r>
        <w:rPr>
          <w:rFonts w:hint="eastAsia"/>
        </w:rPr>
        <w:t>事故发生后，事故现场有关人员应当立即向本单位负责人报告。单位负责人接到报告后，应当于</w:t>
      </w:r>
      <w:r>
        <w:t>1小时内向事故发生地县级以上应急管理部门和有关部门报告。</w:t>
      </w:r>
    </w:p>
    <w:p>
      <w:r>
        <w:t>发生地县级以上应急管理部门和有关部门</w:t>
      </w:r>
      <w:r>
        <w:rPr>
          <w:rFonts w:hint="eastAsia"/>
        </w:rPr>
        <w:t>上报时限不得超过</w:t>
      </w:r>
      <w:r>
        <w:t>1</w:t>
      </w:r>
      <w:r>
        <w:rPr>
          <w:rFonts w:hint="eastAsia"/>
        </w:rPr>
        <w:t>小时，不得迟报、漏报、谎报或者瞒报，同时通报可能受影响的地区、部门和企业，情况特别紧急时，可越级上报。</w:t>
      </w:r>
    </w:p>
    <w:p>
      <w:r>
        <w:rPr>
          <w:rFonts w:hint="eastAsia"/>
        </w:rPr>
        <w:t>省应急厅、省公安厅实行</w:t>
      </w:r>
      <w:r>
        <w:t>24小时值守制度，随时接收事故报告信息，并及时</w:t>
      </w:r>
      <w:r>
        <w:rPr>
          <w:rFonts w:hint="eastAsia"/>
        </w:rPr>
        <w:t>上</w:t>
      </w:r>
      <w:r>
        <w:t>报</w:t>
      </w:r>
      <w:r>
        <w:rPr>
          <w:rFonts w:hint="eastAsia"/>
        </w:rPr>
        <w:t>省委、</w:t>
      </w:r>
      <w:r>
        <w:t>省政府和</w:t>
      </w:r>
      <w:r>
        <w:rPr>
          <w:rFonts w:hint="eastAsia"/>
        </w:rPr>
        <w:t>国务院安委办</w:t>
      </w:r>
      <w:r>
        <w:t>。</w:t>
      </w:r>
    </w:p>
    <w:p>
      <w:r>
        <w:rPr>
          <w:rFonts w:hint="eastAsia"/>
        </w:rPr>
        <w:t>信息报告要简明扼要、清晰准确。事故报告内容应包括：事故发生单位概况，事故发生的时间、地点、简要经过、信息来源，事故涉及的危险化学品种类及数量，事故可能造成的危害程度、影响范围、伤亡人数、直接经济损失，已采取的应急处置措施，目前事故处置进展情况，下一步拟采取的措施等。</w:t>
      </w:r>
    </w:p>
    <w:p>
      <w:pPr>
        <w:ind w:firstLine="0" w:firstLineChars="0"/>
      </w:pPr>
      <w:bookmarkStart w:id="53" w:name="_Toc88516190"/>
      <w:r>
        <w:rPr>
          <w:rFonts w:ascii="Times New Roman" w:hAnsi="Times New Roman" w:eastAsia="黑体" w:cs="黑体"/>
          <w:b/>
          <w:bCs/>
          <w:kern w:val="44"/>
          <w:sz w:val="36"/>
          <w:szCs w:val="44"/>
        </w:rPr>
        <w:t xml:space="preserve">5 </w:t>
      </w:r>
      <w:r>
        <w:rPr>
          <w:rFonts w:hint="eastAsia" w:ascii="Times New Roman" w:hAnsi="Times New Roman" w:eastAsia="黑体" w:cs="黑体"/>
          <w:b/>
          <w:bCs/>
          <w:kern w:val="44"/>
          <w:sz w:val="36"/>
          <w:szCs w:val="44"/>
        </w:rPr>
        <w:t>响应程序</w:t>
      </w:r>
      <w:bookmarkEnd w:id="53"/>
    </w:p>
    <w:p>
      <w:pPr>
        <w:pStyle w:val="3"/>
      </w:pPr>
      <w:bookmarkStart w:id="54" w:name="_Toc88516191"/>
      <w:r>
        <w:rPr>
          <w:rFonts w:hint="eastAsia"/>
        </w:rPr>
        <w:t>5.</w:t>
      </w:r>
      <w:r>
        <w:t xml:space="preserve">1 </w:t>
      </w:r>
      <w:r>
        <w:rPr>
          <w:rFonts w:hint="eastAsia"/>
        </w:rPr>
        <w:t>事故分级</w:t>
      </w:r>
      <w:bookmarkEnd w:id="54"/>
    </w:p>
    <w:p>
      <w:r>
        <w:rPr>
          <w:rFonts w:hint="eastAsia"/>
        </w:rPr>
        <w:t>根据造成的人员伤亡或直接经济损失等，危险化学品生产安全事故分为一般、较大、重大和特别重大。</w:t>
      </w:r>
    </w:p>
    <w:p>
      <w:r>
        <w:rPr>
          <w:rFonts w:hint="eastAsia"/>
        </w:rPr>
        <w:t>（</w:t>
      </w:r>
      <w:r>
        <w:rPr>
          <w:rFonts w:hint="eastAsia" w:ascii="Times New Roman" w:hAnsi="Times New Roman"/>
        </w:rPr>
        <w:t>1</w:t>
      </w:r>
      <w:r>
        <w:rPr>
          <w:rFonts w:hint="eastAsia"/>
        </w:rPr>
        <w:t>）一般事故：造成</w:t>
      </w:r>
      <w:r>
        <w:rPr>
          <w:rFonts w:hint="eastAsia" w:ascii="Times New Roman" w:hAnsi="Times New Roman"/>
        </w:rPr>
        <w:t>3</w:t>
      </w:r>
      <w:r>
        <w:rPr>
          <w:rFonts w:hint="eastAsia"/>
        </w:rPr>
        <w:t>人以下死亡，或者</w:t>
      </w:r>
      <w:r>
        <w:rPr>
          <w:rFonts w:hint="eastAsia" w:ascii="Times New Roman" w:hAnsi="Times New Roman"/>
        </w:rPr>
        <w:t>10</w:t>
      </w:r>
      <w:r>
        <w:rPr>
          <w:rFonts w:hint="eastAsia"/>
        </w:rPr>
        <w:t>人以下重伤（包括急性工业中毒，下同），或者</w:t>
      </w:r>
      <w:r>
        <w:rPr>
          <w:rFonts w:hint="eastAsia" w:ascii="Times New Roman" w:hAnsi="Times New Roman"/>
        </w:rPr>
        <w:t>1000</w:t>
      </w:r>
      <w:r>
        <w:rPr>
          <w:rFonts w:hint="eastAsia"/>
        </w:rPr>
        <w:t>万元以下直接经济损失的事故。</w:t>
      </w:r>
    </w:p>
    <w:p>
      <w:r>
        <w:rPr>
          <w:rFonts w:hint="eastAsia"/>
        </w:rPr>
        <w:t>（</w:t>
      </w:r>
      <w:r>
        <w:rPr>
          <w:rFonts w:hint="eastAsia" w:ascii="Times New Roman" w:hAnsi="Times New Roman"/>
        </w:rPr>
        <w:t>2</w:t>
      </w:r>
      <w:r>
        <w:rPr>
          <w:rFonts w:hint="eastAsia"/>
        </w:rPr>
        <w:t>）较大事故：造成</w:t>
      </w:r>
      <w:r>
        <w:rPr>
          <w:rFonts w:hint="eastAsia" w:ascii="Times New Roman" w:hAnsi="Times New Roman"/>
        </w:rPr>
        <w:t>3</w:t>
      </w:r>
      <w:r>
        <w:rPr>
          <w:rFonts w:hint="eastAsia"/>
        </w:rPr>
        <w:t>人以上</w:t>
      </w:r>
      <w:r>
        <w:rPr>
          <w:rFonts w:hint="eastAsia" w:ascii="Times New Roman" w:hAnsi="Times New Roman"/>
        </w:rPr>
        <w:t>10</w:t>
      </w:r>
      <w:r>
        <w:rPr>
          <w:rFonts w:hint="eastAsia"/>
        </w:rPr>
        <w:t>人以下死亡，或者</w:t>
      </w:r>
      <w:r>
        <w:rPr>
          <w:rFonts w:hint="eastAsia" w:ascii="Times New Roman" w:hAnsi="Times New Roman"/>
        </w:rPr>
        <w:t>10</w:t>
      </w:r>
      <w:r>
        <w:rPr>
          <w:rFonts w:hint="eastAsia"/>
        </w:rPr>
        <w:t>人以上</w:t>
      </w:r>
      <w:r>
        <w:rPr>
          <w:rFonts w:hint="eastAsia" w:ascii="Times New Roman" w:hAnsi="Times New Roman"/>
        </w:rPr>
        <w:t>50</w:t>
      </w:r>
      <w:r>
        <w:rPr>
          <w:rFonts w:hint="eastAsia"/>
        </w:rPr>
        <w:t>人以下重伤，或者</w:t>
      </w:r>
      <w:r>
        <w:rPr>
          <w:rFonts w:hint="eastAsia" w:ascii="Times New Roman" w:hAnsi="Times New Roman"/>
        </w:rPr>
        <w:t>1000</w:t>
      </w:r>
      <w:r>
        <w:rPr>
          <w:rFonts w:hint="eastAsia"/>
        </w:rPr>
        <w:t>万元以上</w:t>
      </w:r>
      <w:r>
        <w:rPr>
          <w:rFonts w:hint="eastAsia" w:ascii="Times New Roman" w:hAnsi="Times New Roman"/>
        </w:rPr>
        <w:t>5000</w:t>
      </w:r>
      <w:r>
        <w:rPr>
          <w:rFonts w:hint="eastAsia"/>
        </w:rPr>
        <w:t>万元以下直接经济损失的事故。</w:t>
      </w:r>
    </w:p>
    <w:p>
      <w:r>
        <w:rPr>
          <w:rFonts w:hint="eastAsia"/>
        </w:rPr>
        <w:t>（</w:t>
      </w:r>
      <w:r>
        <w:rPr>
          <w:rFonts w:hint="eastAsia" w:ascii="Times New Roman" w:hAnsi="Times New Roman"/>
        </w:rPr>
        <w:t>3</w:t>
      </w:r>
      <w:r>
        <w:rPr>
          <w:rFonts w:hint="eastAsia"/>
        </w:rPr>
        <w:t>）重大事故：造成</w:t>
      </w:r>
      <w:r>
        <w:rPr>
          <w:rFonts w:hint="eastAsia" w:ascii="Times New Roman" w:hAnsi="Times New Roman"/>
        </w:rPr>
        <w:t>10</w:t>
      </w:r>
      <w:r>
        <w:rPr>
          <w:rFonts w:hint="eastAsia"/>
        </w:rPr>
        <w:t>人以上</w:t>
      </w:r>
      <w:r>
        <w:rPr>
          <w:rFonts w:hint="eastAsia" w:ascii="Times New Roman" w:hAnsi="Times New Roman"/>
        </w:rPr>
        <w:t>30</w:t>
      </w:r>
      <w:r>
        <w:rPr>
          <w:rFonts w:hint="eastAsia"/>
        </w:rPr>
        <w:t>人以下死亡，或者</w:t>
      </w:r>
      <w:r>
        <w:rPr>
          <w:rFonts w:hint="eastAsia" w:ascii="Times New Roman" w:hAnsi="Times New Roman"/>
        </w:rPr>
        <w:t>50</w:t>
      </w:r>
      <w:r>
        <w:rPr>
          <w:rFonts w:hint="eastAsia"/>
        </w:rPr>
        <w:t>人以上</w:t>
      </w:r>
      <w:r>
        <w:rPr>
          <w:rFonts w:hint="eastAsia" w:ascii="Times New Roman" w:hAnsi="Times New Roman"/>
        </w:rPr>
        <w:t>100</w:t>
      </w:r>
      <w:r>
        <w:rPr>
          <w:rFonts w:hint="eastAsia"/>
        </w:rPr>
        <w:t>人以下重伤，或需紧急转移安置 5 万人以上、10 万人以下，或者</w:t>
      </w:r>
      <w:r>
        <w:rPr>
          <w:rFonts w:hint="eastAsia" w:ascii="Times New Roman" w:hAnsi="Times New Roman"/>
        </w:rPr>
        <w:t>5000</w:t>
      </w:r>
      <w:r>
        <w:rPr>
          <w:rFonts w:hint="eastAsia"/>
        </w:rPr>
        <w:t>万元以上</w:t>
      </w:r>
      <w:r>
        <w:rPr>
          <w:rFonts w:hint="eastAsia" w:ascii="Times New Roman" w:hAnsi="Times New Roman"/>
        </w:rPr>
        <w:t>1</w:t>
      </w:r>
      <w:r>
        <w:rPr>
          <w:rFonts w:hint="eastAsia"/>
        </w:rPr>
        <w:t>亿元以下直接经济损失的事故。</w:t>
      </w:r>
    </w:p>
    <w:p>
      <w:r>
        <w:rPr>
          <w:rFonts w:hint="eastAsia"/>
        </w:rPr>
        <w:t>（</w:t>
      </w:r>
      <w:r>
        <w:rPr>
          <w:rFonts w:hint="eastAsia" w:ascii="Times New Roman" w:hAnsi="Times New Roman"/>
        </w:rPr>
        <w:t>4</w:t>
      </w:r>
      <w:r>
        <w:rPr>
          <w:rFonts w:hint="eastAsia"/>
        </w:rPr>
        <w:t>）特别重大事故：造成</w:t>
      </w:r>
      <w:r>
        <w:rPr>
          <w:rFonts w:hint="eastAsia" w:ascii="Times New Roman" w:hAnsi="Times New Roman"/>
        </w:rPr>
        <w:t>30</w:t>
      </w:r>
      <w:r>
        <w:rPr>
          <w:rFonts w:hint="eastAsia"/>
        </w:rPr>
        <w:t>人以上死亡，或者</w:t>
      </w:r>
      <w:r>
        <w:rPr>
          <w:rFonts w:hint="eastAsia" w:ascii="Times New Roman" w:hAnsi="Times New Roman"/>
        </w:rPr>
        <w:t>100</w:t>
      </w:r>
      <w:r>
        <w:rPr>
          <w:rFonts w:hint="eastAsia"/>
        </w:rPr>
        <w:t>人以上重伤，或者需要紧急转移安置 10 万人以上，或者</w:t>
      </w:r>
      <w:r>
        <w:rPr>
          <w:rFonts w:hint="eastAsia" w:ascii="Times New Roman" w:hAnsi="Times New Roman"/>
        </w:rPr>
        <w:t>1</w:t>
      </w:r>
      <w:r>
        <w:rPr>
          <w:rFonts w:hint="eastAsia"/>
        </w:rPr>
        <w:t>亿元以上直接经济损失的事故。</w:t>
      </w:r>
    </w:p>
    <w:p>
      <w:r>
        <w:rPr>
          <w:rFonts w:hint="eastAsia"/>
        </w:rPr>
        <w:t>上述数量表述中，“以上”含本数，“以下”不含本数。</w:t>
      </w:r>
    </w:p>
    <w:p>
      <w:pPr>
        <w:pStyle w:val="3"/>
      </w:pPr>
      <w:bookmarkStart w:id="55" w:name="_Toc88516192"/>
      <w:r>
        <w:rPr>
          <w:rFonts w:hint="eastAsia"/>
        </w:rPr>
        <w:t>5.</w:t>
      </w:r>
      <w:r>
        <w:t xml:space="preserve">2 </w:t>
      </w:r>
      <w:r>
        <w:rPr>
          <w:rFonts w:hint="eastAsia"/>
        </w:rPr>
        <w:t>响应分级</w:t>
      </w:r>
      <w:bookmarkEnd w:id="55"/>
    </w:p>
    <w:p>
      <w:r>
        <w:rPr>
          <w:rFonts w:hint="eastAsia"/>
        </w:rPr>
        <w:t>按照危险化学品生产安全事故的严重程度和影响范围，危险化学品生产安全事故应急响应等级分为Ⅰ</w:t>
      </w:r>
      <w:r>
        <w:t>级响应</w:t>
      </w:r>
      <w:r>
        <w:rPr>
          <w:rFonts w:hint="eastAsia"/>
        </w:rPr>
        <w:t>（特别重大</w:t>
      </w:r>
      <w:r>
        <w:t>），</w:t>
      </w:r>
      <w:r>
        <w:rPr>
          <w:rFonts w:hint="eastAsia"/>
        </w:rPr>
        <w:t>Ⅱ</w:t>
      </w:r>
      <w:r>
        <w:t>级响应（重大）、</w:t>
      </w:r>
      <w:r>
        <w:rPr>
          <w:rFonts w:hint="eastAsia"/>
        </w:rPr>
        <w:t>Ⅲ</w:t>
      </w:r>
      <w:r>
        <w:t>级响应（较大）、</w:t>
      </w:r>
      <w:r>
        <w:rPr>
          <w:rFonts w:hint="eastAsia"/>
        </w:rPr>
        <w:t>Ⅳ</w:t>
      </w:r>
      <w:r>
        <w:t>级响应（一般）。</w:t>
      </w:r>
    </w:p>
    <w:p>
      <w:r>
        <w:rPr>
          <w:rFonts w:hint="eastAsia"/>
        </w:rPr>
        <w:t>事故响应遵循统一领导、分级负责、属地为主的原则。当事故超出事发地人民政府、洋浦经济开发区管委会的应对能力时，由上一级人民政府提供支援或组织应对。Ⅱ级及以上事故响应由省人民政府统一组织协调。</w:t>
      </w:r>
    </w:p>
    <w:p>
      <w:r>
        <w:rPr>
          <w:rFonts w:hint="eastAsia"/>
        </w:rPr>
        <w:t>危险化学品生产安全事故发生后，事发地市县人民政府及其有关部门，基层组织和单位等根据生产安全事故严重性、事发地应急处置能力以及预期影响后果，综合研判确定本级响应级别。响应级别应根据事态发展，实行动态调整。对于发生在特殊（恶劣气候、重要活动）时期的事故，可适当提高响应级别，。</w:t>
      </w:r>
    </w:p>
    <w:p>
      <w:r>
        <w:rPr>
          <w:rFonts w:hint="eastAsia"/>
        </w:rPr>
        <w:t>当确定发生重大、特别重大危险化学品生产安全事故（以及1.4条规定的其他事故范围）时，省人民政府应立即启动应急响应，组建省指挥部和现场指挥部。必要时，由省指挥部向国务院有关部门请求支援。</w:t>
      </w:r>
    </w:p>
    <w:p>
      <w:pPr>
        <w:pStyle w:val="3"/>
      </w:pPr>
      <w:bookmarkStart w:id="56" w:name="_Toc88516193"/>
      <w:r>
        <w:rPr>
          <w:rFonts w:hint="eastAsia"/>
        </w:rPr>
        <w:t>5.3</w:t>
      </w:r>
      <w:r>
        <w:t xml:space="preserve"> </w:t>
      </w:r>
      <w:r>
        <w:rPr>
          <w:rFonts w:hint="eastAsia"/>
        </w:rPr>
        <w:t>应急处置</w:t>
      </w:r>
      <w:bookmarkEnd w:id="56"/>
    </w:p>
    <w:p>
      <w:pPr>
        <w:pStyle w:val="4"/>
      </w:pPr>
      <w:bookmarkStart w:id="57" w:name="_Toc41901996"/>
      <w:bookmarkStart w:id="58" w:name="_Toc88516194"/>
      <w:r>
        <w:rPr>
          <w:rFonts w:hint="eastAsia"/>
        </w:rPr>
        <w:t>5</w:t>
      </w:r>
      <w:r>
        <w:t>.</w:t>
      </w:r>
      <w:r>
        <w:rPr>
          <w:rFonts w:hint="eastAsia"/>
        </w:rPr>
        <w:t>3</w:t>
      </w:r>
      <w:r>
        <w:t>.1 生产经营单位</w:t>
      </w:r>
      <w:bookmarkEnd w:id="57"/>
      <w:r>
        <w:rPr>
          <w:rFonts w:hint="eastAsia"/>
        </w:rPr>
        <w:t>应急处置</w:t>
      </w:r>
      <w:bookmarkEnd w:id="58"/>
    </w:p>
    <w:p>
      <w:r>
        <w:t>危险化学品企业</w:t>
      </w:r>
      <w:r>
        <w:rPr>
          <w:rFonts w:hint="eastAsia"/>
        </w:rPr>
        <w:t>员工在</w:t>
      </w:r>
      <w:r>
        <w:t>发现事故征兆或已经发生</w:t>
      </w:r>
      <w:r>
        <w:rPr>
          <w:rFonts w:hint="eastAsia"/>
        </w:rPr>
        <w:t>危险化学品生产安全事故时</w:t>
      </w:r>
      <w:r>
        <w:t>，</w:t>
      </w:r>
      <w:r>
        <w:rPr>
          <w:rFonts w:hint="eastAsia"/>
        </w:rPr>
        <w:t>应</w:t>
      </w:r>
      <w:r>
        <w:t>在确保</w:t>
      </w:r>
      <w:r>
        <w:rPr>
          <w:rFonts w:hint="eastAsia"/>
        </w:rPr>
        <w:t>人身</w:t>
      </w:r>
      <w:r>
        <w:t>安全的前提下采取应急处置措施，开展自救和互救，并立即报告企业负责人。</w:t>
      </w:r>
    </w:p>
    <w:p>
      <w:r>
        <w:rPr>
          <w:rFonts w:hint="eastAsia"/>
        </w:rPr>
        <w:t>企业负责人接到事故报告后应立即启动相关应急预案，在确保应急救援人员人身安全和避免发生次生事故的前提下，组织开展关阀泄压断料、灭火控火防爆、紧急疏散人员、集结专业救援力量等初期应急处置。</w:t>
      </w:r>
    </w:p>
    <w:p>
      <w:r>
        <w:rPr>
          <w:rFonts w:hint="eastAsia"/>
        </w:rPr>
        <w:t>事发企业要及时向周边企业、居民预警，并及时向事发地人民政府、应急管理部门和主管部门报告事故情况及有关应急处置情况。省直属企业在报告事发地人民政府的同时，报省政府及省应急厅。</w:t>
      </w:r>
    </w:p>
    <w:p>
      <w:pPr>
        <w:pStyle w:val="4"/>
      </w:pPr>
      <w:bookmarkStart w:id="59" w:name="_Toc41901997"/>
      <w:bookmarkStart w:id="60" w:name="_Toc88516195"/>
      <w:r>
        <w:rPr>
          <w:rFonts w:hint="eastAsia"/>
        </w:rPr>
        <w:t>5</w:t>
      </w:r>
      <w:r>
        <w:t>.</w:t>
      </w:r>
      <w:r>
        <w:rPr>
          <w:rFonts w:hint="eastAsia"/>
        </w:rPr>
        <w:t>3</w:t>
      </w:r>
      <w:r>
        <w:t xml:space="preserve">.2 </w:t>
      </w:r>
      <w:r>
        <w:rPr>
          <w:rFonts w:hint="eastAsia"/>
        </w:rPr>
        <w:t>市县人民政府、洋浦经济开发区管委会</w:t>
      </w:r>
      <w:bookmarkEnd w:id="59"/>
      <w:r>
        <w:rPr>
          <w:rFonts w:hint="eastAsia"/>
        </w:rPr>
        <w:t>应急处置</w:t>
      </w:r>
      <w:bookmarkEnd w:id="60"/>
    </w:p>
    <w:p>
      <w:r>
        <w:rPr>
          <w:rFonts w:hint="eastAsia"/>
        </w:rPr>
        <w:t>事发地市县人民政府、洋浦经济开发区管委会接到企业事故报告后，应根据事故信息启动相关应急预案，组织开展应急救援，核实有关情况，了解事故核心区情况及可能影响区域情况，适时研判、决策和上报。必要时，尽快成立救援指挥部，组织、指挥各有关部门按照一般处置方案和不同事故类型处置要点进行先期处置。</w:t>
      </w:r>
    </w:p>
    <w:p>
      <w:r>
        <w:rPr>
          <w:rFonts w:hint="eastAsia"/>
        </w:rPr>
        <w:t>发生重大、特别重大危险化学品生产安全事故后，事发地市县人民政府、洋浦经济开发区管委会主要负责人应及时赶赴现场，组织指挥有关部门及消防、医疗救护等专业应急救援队伍进行先期处置。</w:t>
      </w:r>
    </w:p>
    <w:p>
      <w:pPr>
        <w:pStyle w:val="4"/>
      </w:pPr>
      <w:bookmarkStart w:id="61" w:name="_Toc88516196"/>
      <w:r>
        <w:rPr>
          <w:rFonts w:hint="eastAsia"/>
        </w:rPr>
        <w:t>5</w:t>
      </w:r>
      <w:r>
        <w:t>.</w:t>
      </w:r>
      <w:r>
        <w:rPr>
          <w:rFonts w:hint="eastAsia"/>
        </w:rPr>
        <w:t>3</w:t>
      </w:r>
      <w:r>
        <w:t xml:space="preserve">.3 </w:t>
      </w:r>
      <w:r>
        <w:rPr>
          <w:rFonts w:hint="eastAsia"/>
        </w:rPr>
        <w:t>省级应急处置</w:t>
      </w:r>
      <w:bookmarkEnd w:id="61"/>
    </w:p>
    <w:p>
      <w:pPr>
        <w:pStyle w:val="5"/>
      </w:pPr>
      <w:bookmarkStart w:id="62" w:name="_Toc88516197"/>
      <w:r>
        <w:rPr>
          <w:rFonts w:hint="eastAsia"/>
        </w:rPr>
        <w:t>5.3.3.1</w:t>
      </w:r>
      <w:r>
        <w:t xml:space="preserve"> </w:t>
      </w:r>
      <w:r>
        <w:rPr>
          <w:rFonts w:hint="eastAsia"/>
        </w:rPr>
        <w:t>接警</w:t>
      </w:r>
      <w:bookmarkEnd w:id="62"/>
    </w:p>
    <w:p>
      <w:r>
        <w:t>当省</w:t>
      </w:r>
      <w:r>
        <w:rPr>
          <w:rFonts w:hint="eastAsia"/>
        </w:rPr>
        <w:t>应急厅</w:t>
      </w:r>
      <w:r>
        <w:t>收到</w:t>
      </w:r>
      <w:r>
        <w:rPr>
          <w:rFonts w:hint="eastAsia"/>
        </w:rPr>
        <w:t>危险化学品生产安全事故</w:t>
      </w:r>
      <w:r>
        <w:t>报告后</w:t>
      </w:r>
      <w:r>
        <w:rPr>
          <w:rFonts w:hint="eastAsia"/>
        </w:rPr>
        <w:t>，</w:t>
      </w:r>
      <w:r>
        <w:t>应及时</w:t>
      </w:r>
      <w:r>
        <w:rPr>
          <w:rFonts w:hint="eastAsia"/>
        </w:rPr>
        <w:t>核实事故情况，报送省委、省政府及省安委会有关部门，并根据事故情况指导事故现场进行救援，按照有关权限协调应急资源。对可能或者已经引发自然灾害、公共卫生和社会安全突发事件的情况，省应急厅应及时上报省委、省政府，同时通报同级相关领域的应急指挥机构。</w:t>
      </w:r>
    </w:p>
    <w:p>
      <w:pPr>
        <w:pStyle w:val="5"/>
      </w:pPr>
      <w:bookmarkStart w:id="63" w:name="_Toc88516198"/>
      <w:r>
        <w:rPr>
          <w:rFonts w:hint="eastAsia"/>
        </w:rPr>
        <w:t>5.3.3.2</w:t>
      </w:r>
      <w:r>
        <w:t xml:space="preserve"> </w:t>
      </w:r>
      <w:r>
        <w:rPr>
          <w:rFonts w:hint="eastAsia"/>
        </w:rPr>
        <w:t>事故处置</w:t>
      </w:r>
      <w:bookmarkEnd w:id="63"/>
    </w:p>
    <w:p>
      <w:r>
        <w:rPr>
          <w:rFonts w:hint="eastAsia"/>
        </w:rPr>
        <w:t>当事故影响已经达到本预案的启动条件时，省安委会主任应及时研判并决定事故响应级别，作出相应工作部署。</w:t>
      </w:r>
    </w:p>
    <w:p>
      <w:r>
        <w:rPr>
          <w:rFonts w:hint="eastAsia"/>
        </w:rPr>
        <w:t>省指挥部成立后，连线事发地指挥部，</w:t>
      </w:r>
      <w:r>
        <w:t>进行联合初步研讨会议</w:t>
      </w:r>
      <w:r>
        <w:rPr>
          <w:rFonts w:hint="eastAsia"/>
        </w:rPr>
        <w:t>，</w:t>
      </w:r>
      <w:r>
        <w:t>了解事故最新动态并</w:t>
      </w:r>
      <w:r>
        <w:rPr>
          <w:rFonts w:hint="eastAsia"/>
        </w:rPr>
        <w:t>交接指挥权，按需设置现场指挥部。</w:t>
      </w:r>
    </w:p>
    <w:p>
      <w:r>
        <w:rPr>
          <w:rFonts w:hint="eastAsia"/>
        </w:rPr>
        <w:t>现场指挥部成立后，应根据省指挥部有关部署，做好扩大事故信息发布范围，协调事发地周边的应急资源进行支援，消除已经引发或可能引发的事故负面舆论，严格落实供水、供电、交通、气象、物资、资金和环境保护等保障。</w:t>
      </w:r>
    </w:p>
    <w:p>
      <w:r>
        <w:rPr>
          <w:rFonts w:hint="eastAsia"/>
        </w:rPr>
        <w:t>现场指挥部</w:t>
      </w:r>
      <w:r>
        <w:t>处置完上述事项后</w:t>
      </w:r>
      <w:r>
        <w:rPr>
          <w:rFonts w:hint="eastAsia"/>
        </w:rPr>
        <w:t>，</w:t>
      </w:r>
      <w:r>
        <w:t>进入内部运转机制</w:t>
      </w:r>
      <w:r>
        <w:rPr>
          <w:rFonts w:hint="eastAsia"/>
        </w:rPr>
        <w:t>，根据事故现场实际情况，开展有计划、有针对性的救援工作。现场指挥部内部运转机制应以“制定救援目标→会商研判→制定救援方案→执行救援方案→方案完成情况→制定下一阶段的应急救援目标”的步骤进行事故救援。根据实际情况，采取下列必要措施：</w:t>
      </w:r>
    </w:p>
    <w:p>
      <w:r>
        <w:rPr>
          <w:rFonts w:hint="eastAsia"/>
        </w:rPr>
        <w:t>（1）核心区控制。对事故核心区和相关责任人实施现场控制。</w:t>
      </w:r>
    </w:p>
    <w:p>
      <w:r>
        <w:rPr>
          <w:rFonts w:hint="eastAsia"/>
        </w:rPr>
        <w:t>（2）核心区警戒隔离。根据化学品特性和泄漏、扩散的情况及火灾、爆炸所涉及的范围设立警戒区，并对通往事故核心区的道路实行交通管控。</w:t>
      </w:r>
    </w:p>
    <w:p>
      <w:r>
        <w:rPr>
          <w:rFonts w:hint="eastAsia"/>
        </w:rPr>
        <w:t>（3）现场处置。迅速了解事故现场情况，掌握所涉及危险化学品种类、数量、特性、状态等信息，调集公安、消防、医疗、交通、生态环境、气象、危险化学品等相关应急救援队伍、专家，根据危险化学品主要事故类型现场处置要点开展现场应急救援、医疗救治、环境监测等工作。现场救援人员应根据事故危险特性和危险化学品处置方式，采取有效的防护措施。</w:t>
      </w:r>
    </w:p>
    <w:p>
      <w:r>
        <w:rPr>
          <w:rFonts w:hint="eastAsia"/>
        </w:rPr>
        <w:t>（4）人员撤离与安置。根据事故可能波及范围，立即组织可能受到威胁的人员有秩序地向上风、侧风向避难场所或安全地带撤离。</w:t>
      </w:r>
    </w:p>
    <w:p>
      <w:r>
        <w:rPr>
          <w:rFonts w:hint="eastAsia"/>
        </w:rPr>
        <w:t>（5）政企民联动。必要时，应依法成立以政府为主导的应急联动指挥机构。政府主导的主要目的在于便于整合政府与企业的应急资源，提高应急响应能力和效率。</w:t>
      </w:r>
    </w:p>
    <w:p>
      <w:pPr>
        <w:pStyle w:val="5"/>
      </w:pPr>
      <w:bookmarkStart w:id="64" w:name="_Toc88516199"/>
      <w:r>
        <w:rPr>
          <w:rFonts w:hint="eastAsia"/>
        </w:rPr>
        <w:t>5.3.3.3</w:t>
      </w:r>
      <w:r>
        <w:t xml:space="preserve"> </w:t>
      </w:r>
      <w:r>
        <w:rPr>
          <w:rFonts w:hint="eastAsia"/>
        </w:rPr>
        <w:t>响应升级</w:t>
      </w:r>
      <w:bookmarkEnd w:id="64"/>
    </w:p>
    <w:p>
      <w:r>
        <w:t>当全省力量无法有效控制灾情时</w:t>
      </w:r>
      <w:r>
        <w:rPr>
          <w:rFonts w:hint="eastAsia"/>
        </w:rPr>
        <w:t>，省指挥部应将事态及时上报国务院安委办，请求国家支援，</w:t>
      </w:r>
      <w:r>
        <w:t>应急响应</w:t>
      </w:r>
      <w:r>
        <w:rPr>
          <w:rFonts w:hint="eastAsia"/>
        </w:rPr>
        <w:t>由</w:t>
      </w:r>
      <w:r>
        <w:t>国务院</w:t>
      </w:r>
      <w:r>
        <w:rPr>
          <w:rFonts w:hint="eastAsia"/>
        </w:rPr>
        <w:t>有关部门</w:t>
      </w:r>
      <w:r>
        <w:t>组织实施，省指挥部</w:t>
      </w:r>
      <w:r>
        <w:rPr>
          <w:rFonts w:hint="eastAsia"/>
        </w:rPr>
        <w:t>、</w:t>
      </w:r>
      <w:r>
        <w:t>现场指挥部</w:t>
      </w:r>
      <w:r>
        <w:rPr>
          <w:rFonts w:hint="eastAsia"/>
        </w:rPr>
        <w:t>等各级应急机构应积极</w:t>
      </w:r>
      <w:r>
        <w:t>配合</w:t>
      </w:r>
      <w:r>
        <w:rPr>
          <w:rFonts w:hint="eastAsia"/>
        </w:rPr>
        <w:t>。</w:t>
      </w:r>
    </w:p>
    <w:p>
      <w:pPr>
        <w:pStyle w:val="5"/>
      </w:pPr>
      <w:bookmarkStart w:id="65" w:name="_Toc88516200"/>
      <w:r>
        <w:rPr>
          <w:rFonts w:hint="eastAsia"/>
        </w:rPr>
        <w:t>5.3.3.4</w:t>
      </w:r>
      <w:r>
        <w:t xml:space="preserve"> </w:t>
      </w:r>
      <w:r>
        <w:rPr>
          <w:rFonts w:hint="eastAsia"/>
        </w:rPr>
        <w:t>信息发布</w:t>
      </w:r>
      <w:bookmarkEnd w:id="65"/>
    </w:p>
    <w:p>
      <w:r>
        <w:rPr>
          <w:rFonts w:hint="eastAsia"/>
        </w:rPr>
        <w:t>当发生重大、特别重大危险化学品生产安全事故（以及1.4条规定的其他事故范围）时，省指挥部负责统一领导和组织事故信息发布工作。</w:t>
      </w:r>
    </w:p>
    <w:p>
      <w:r>
        <w:rPr>
          <w:rFonts w:hint="eastAsia"/>
        </w:rPr>
        <w:t>对于危险化学品生产安全事故已经引发或可能引发的社会舆论，省委宣传部应联合省委网信办等有关部门发布信息，协调网络、电视、报纸等有关媒体，开展对外解疑释惑、消除社会不当舆论、澄清事实。必要时，组织召开新闻发布会，正确引导新闻舆论，现场指挥部予以配合。</w:t>
      </w:r>
    </w:p>
    <w:p>
      <w:r>
        <w:rPr>
          <w:rFonts w:hint="eastAsia"/>
        </w:rPr>
        <w:t>信息发布内容主要包括：危险化学品生产安全事故的危害程度及其次生、衍生灾害的监测和预警情况；事故发生时间、地点、人员伤亡（包括下落不明人数）和财产损失情况、救援进展情况、事故区域交通管控情况以及临时交通措施；事故责任单位基本情况；事故初步原因等。</w:t>
      </w:r>
    </w:p>
    <w:p>
      <w:pPr>
        <w:pStyle w:val="5"/>
      </w:pPr>
      <w:bookmarkStart w:id="66" w:name="_Toc88516201"/>
      <w:r>
        <w:rPr>
          <w:rFonts w:hint="eastAsia"/>
        </w:rPr>
        <w:t>5.3.3.5</w:t>
      </w:r>
      <w:r>
        <w:t xml:space="preserve"> </w:t>
      </w:r>
      <w:r>
        <w:rPr>
          <w:rFonts w:hint="eastAsia"/>
        </w:rPr>
        <w:t>响应降级及结束</w:t>
      </w:r>
      <w:bookmarkEnd w:id="66"/>
    </w:p>
    <w:p>
      <w:pPr>
        <w:spacing w:line="580" w:lineRule="exact"/>
      </w:pPr>
      <w:r>
        <w:rPr>
          <w:rFonts w:hint="eastAsia"/>
        </w:rPr>
        <w:t>事故响应实行动态管理，根据事故救援情况调整响应级别，采用逐步降级</w:t>
      </w:r>
      <w:r>
        <w:rPr>
          <w:rFonts w:hint="eastAsia" w:ascii="Segoe UI Emoji" w:hAnsi="Segoe UI Emoji" w:eastAsia="Segoe UI Emoji" w:cs="Segoe UI Emoji"/>
        </w:rPr>
        <w:t>→</w:t>
      </w:r>
      <w:r>
        <w:rPr>
          <w:rFonts w:hint="eastAsia"/>
        </w:rPr>
        <w:t>指挥权转移</w:t>
      </w:r>
      <w:r>
        <w:rPr>
          <w:rFonts w:hint="eastAsia" w:ascii="Segoe UI Emoji" w:hAnsi="Segoe UI Emoji" w:eastAsia="Segoe UI Emoji" w:cs="Segoe UI Emoji"/>
        </w:rPr>
        <w:t>→</w:t>
      </w:r>
      <w:r>
        <w:rPr>
          <w:rFonts w:hint="eastAsia"/>
        </w:rPr>
        <w:t>响应降级信息发布的程序进行。</w:t>
      </w:r>
    </w:p>
    <w:p>
      <w:pPr>
        <w:spacing w:line="580" w:lineRule="exact"/>
      </w:pPr>
      <w:r>
        <w:rPr>
          <w:rFonts w:hint="eastAsia"/>
        </w:rPr>
        <w:t>当现场险情得以控制，事故伤亡情况已核实清楚，被困人员已解救，受伤人员已全部安排救治，死亡人员得到妥善处置，环境符合有关标准，导致次生、衍生事故的隐患已消除后，由现场指挥部上报省指挥部，省指挥部宣布省级响应结束，相关人员回到日常岗位。</w:t>
      </w:r>
    </w:p>
    <w:p>
      <w:pPr>
        <w:ind w:firstLine="0" w:firstLineChars="0"/>
      </w:pPr>
      <w:bookmarkStart w:id="67" w:name="_Toc88516202"/>
      <w:r>
        <w:rPr>
          <w:rFonts w:ascii="Times New Roman" w:hAnsi="Times New Roman" w:eastAsia="黑体" w:cs="黑体"/>
          <w:b/>
          <w:bCs/>
          <w:kern w:val="44"/>
          <w:sz w:val="36"/>
          <w:szCs w:val="44"/>
        </w:rPr>
        <w:t xml:space="preserve">6 </w:t>
      </w:r>
      <w:r>
        <w:rPr>
          <w:rFonts w:hint="eastAsia" w:ascii="Times New Roman" w:hAnsi="Times New Roman" w:eastAsia="黑体" w:cs="黑体"/>
          <w:b/>
          <w:bCs/>
          <w:kern w:val="44"/>
          <w:sz w:val="36"/>
          <w:szCs w:val="44"/>
        </w:rPr>
        <w:t>后期处置</w:t>
      </w:r>
      <w:bookmarkEnd w:id="67"/>
    </w:p>
    <w:p>
      <w:pPr>
        <w:pStyle w:val="3"/>
      </w:pPr>
      <w:bookmarkStart w:id="68" w:name="_Toc54959303"/>
      <w:bookmarkStart w:id="69" w:name="_Toc88516203"/>
      <w:r>
        <w:t>6.1 善后处置</w:t>
      </w:r>
      <w:bookmarkEnd w:id="68"/>
      <w:bookmarkEnd w:id="69"/>
    </w:p>
    <w:p>
      <w:r>
        <w:rPr>
          <w:rFonts w:hint="eastAsia"/>
        </w:rPr>
        <w:t>事发地市县人民政府、洋浦经济开发区管委会及事故单位负责组织事故善后处置工作，包括遇难人员亲属的安抚、赔偿，征用物资补偿及灾后重建、污染物收集、清理与处理等事项，尽快恢复正常秩序，减少事故影响，确保社会稳定。</w:t>
      </w:r>
    </w:p>
    <w:p>
      <w:pPr>
        <w:pStyle w:val="3"/>
      </w:pPr>
      <w:bookmarkStart w:id="70" w:name="_Toc54959304"/>
      <w:bookmarkStart w:id="71" w:name="_Toc88516204"/>
      <w:r>
        <w:rPr>
          <w:rFonts w:hint="eastAsia"/>
        </w:rPr>
        <w:t>6</w:t>
      </w:r>
      <w:r>
        <w:t>.2 事故调查</w:t>
      </w:r>
      <w:bookmarkEnd w:id="70"/>
      <w:bookmarkEnd w:id="71"/>
    </w:p>
    <w:p>
      <w:r>
        <w:rPr>
          <w:rFonts w:hint="eastAsia"/>
        </w:rPr>
        <w:t>事故发生后，应当按照国家有关规定成立事故调查组，开展事故调查工作，并按要求形成事故调查报告。</w:t>
      </w:r>
    </w:p>
    <w:p>
      <w:r>
        <w:rPr>
          <w:rFonts w:hint="eastAsia"/>
        </w:rPr>
        <w:t>对在危险化学品生产安全事故应急处置和救援工作中作出突出贡献的先进集体和个人，按照国家和省有关规定给予表彰和奖励。对玩忽职守、失职、渎职的有关责任人，要依据有关规定严肃追究责任，构成犯罪的，依法追究刑事责任。</w:t>
      </w:r>
    </w:p>
    <w:p>
      <w:r>
        <w:rPr>
          <w:rFonts w:hint="eastAsia"/>
        </w:rPr>
        <w:t>应按照“事故原因未查清不放过、责任人员未处理不放过、整改措施未落实不放过、有关人员未受到教育不放过”的“四不放过”原则严肃处理、追责问责，防止同类事故重复发生。</w:t>
      </w:r>
    </w:p>
    <w:p>
      <w:pPr>
        <w:pStyle w:val="3"/>
      </w:pPr>
      <w:bookmarkStart w:id="72" w:name="_Toc54959305"/>
      <w:bookmarkStart w:id="73" w:name="_Toc88516205"/>
      <w:r>
        <w:rPr>
          <w:rFonts w:hint="eastAsia"/>
        </w:rPr>
        <w:t>6</w:t>
      </w:r>
      <w:r>
        <w:t>.3 总结评估</w:t>
      </w:r>
      <w:bookmarkEnd w:id="72"/>
      <w:bookmarkEnd w:id="73"/>
    </w:p>
    <w:p>
      <w:r>
        <w:rPr>
          <w:rFonts w:hint="eastAsia"/>
        </w:rPr>
        <w:t>事发地市县人民政府、洋浦经济开发区管委会应组织应急管理部门、有关部门和单位共同编制事故救援报告，说明事故的基本情况、应急救援经过，总结事故救援处置经验教训，提出加强和改进应急救援工作的对策措施和建议意见。必要时，应重新修订本预案。</w:t>
      </w:r>
    </w:p>
    <w:p>
      <w:pPr>
        <w:pStyle w:val="2"/>
      </w:pPr>
      <w:bookmarkStart w:id="74" w:name="_Toc88516206"/>
      <w:r>
        <w:rPr>
          <w:rFonts w:hint="eastAsia"/>
        </w:rPr>
        <w:t>7 应急保障</w:t>
      </w:r>
      <w:bookmarkEnd w:id="74"/>
    </w:p>
    <w:p>
      <w:pPr>
        <w:pStyle w:val="3"/>
      </w:pPr>
      <w:bookmarkStart w:id="75" w:name="_Toc54959312"/>
      <w:bookmarkStart w:id="76" w:name="_Toc88516207"/>
      <w:r>
        <w:rPr>
          <w:rFonts w:hint="eastAsia"/>
        </w:rPr>
        <w:t>7</w:t>
      </w:r>
      <w:r>
        <w:t>.1 通信与信息保障</w:t>
      </w:r>
      <w:bookmarkEnd w:id="75"/>
      <w:bookmarkEnd w:id="76"/>
    </w:p>
    <w:p>
      <w:r>
        <w:t>各级通信管理</w:t>
      </w:r>
      <w:r>
        <w:rPr>
          <w:rFonts w:hint="eastAsia"/>
        </w:rPr>
        <w:t>部门</w:t>
      </w:r>
      <w:r>
        <w:t>及有关部门（单位）应建立健全应急通信、应急广播保障体系，完善公用通信</w:t>
      </w:r>
      <w:r>
        <w:rPr>
          <w:rFonts w:hint="eastAsia"/>
        </w:rPr>
        <w:t>网络</w:t>
      </w:r>
      <w:r>
        <w:t>，建立有线和无线相结合、基础电信网络与机动通信系统相配套的应急通信系统，确保通信畅通。各应急指挥机构有关部门（单位）以及各应急队伍应当至少保证1部专用固定电话24小时有人值守，确保通讯联络畅通。</w:t>
      </w:r>
    </w:p>
    <w:p>
      <w:pPr>
        <w:pStyle w:val="3"/>
      </w:pPr>
      <w:bookmarkStart w:id="77" w:name="_Toc88516208"/>
      <w:bookmarkStart w:id="78" w:name="_Toc54959308"/>
      <w:r>
        <w:rPr>
          <w:rFonts w:hint="eastAsia"/>
        </w:rPr>
        <w:t>7</w:t>
      </w:r>
      <w:r>
        <w:t xml:space="preserve">.2 </w:t>
      </w:r>
      <w:r>
        <w:rPr>
          <w:rFonts w:hint="eastAsia"/>
        </w:rPr>
        <w:t>应急救援</w:t>
      </w:r>
      <w:r>
        <w:t>队伍保障</w:t>
      </w:r>
      <w:bookmarkEnd w:id="77"/>
      <w:bookmarkEnd w:id="78"/>
    </w:p>
    <w:p>
      <w:r>
        <w:t>建立健全危险化学品生产安全事故应急救援队伍，包括消防救援队伍、专业应急救援队伍、工程抢险队伍、社会应急救援队伍、企业应急救援队伍以及公安、卫生、环保和其他有关部门的应急救援队伍。适时组织开展多种形式的应急演练，不断提高实战能力。</w:t>
      </w:r>
    </w:p>
    <w:p>
      <w:pPr>
        <w:pStyle w:val="3"/>
      </w:pPr>
      <w:bookmarkStart w:id="79" w:name="_Toc54959309"/>
      <w:bookmarkStart w:id="80" w:name="_Toc88516209"/>
      <w:r>
        <w:rPr>
          <w:rFonts w:hint="eastAsia"/>
        </w:rPr>
        <w:t>7</w:t>
      </w:r>
      <w:r>
        <w:t>.</w:t>
      </w:r>
      <w:r>
        <w:rPr>
          <w:rFonts w:hint="eastAsia"/>
        </w:rPr>
        <w:t>3</w:t>
      </w:r>
      <w:r>
        <w:t xml:space="preserve"> </w:t>
      </w:r>
      <w:r>
        <w:rPr>
          <w:rFonts w:hint="eastAsia"/>
        </w:rPr>
        <w:t>应急物资</w:t>
      </w:r>
      <w:r>
        <w:t>装备保障</w:t>
      </w:r>
      <w:bookmarkEnd w:id="79"/>
      <w:bookmarkEnd w:id="80"/>
    </w:p>
    <w:p>
      <w:r>
        <w:t>根据危险化学品特点和应急救援需要，配备泡沫车、药剂车、联用车、气防车和其他专业救援设备，加强管理，统一调度，为应急处置提供装备保障。</w:t>
      </w:r>
    </w:p>
    <w:p>
      <w:pPr>
        <w:pStyle w:val="3"/>
      </w:pPr>
      <w:bookmarkStart w:id="81" w:name="_Toc88516210"/>
      <w:bookmarkStart w:id="82" w:name="_Toc35332889"/>
      <w:bookmarkStart w:id="83" w:name="_Toc86077052"/>
      <w:bookmarkStart w:id="84" w:name="_Toc26731470"/>
      <w:r>
        <w:t>7</w:t>
      </w:r>
      <w:r>
        <w:rPr>
          <w:rFonts w:hint="eastAsia"/>
        </w:rPr>
        <w:t>.4 应急治安和</w:t>
      </w:r>
      <w:r>
        <w:t>交通</w:t>
      </w:r>
      <w:r>
        <w:rPr>
          <w:rFonts w:hint="eastAsia"/>
        </w:rPr>
        <w:t>保障</w:t>
      </w:r>
      <w:bookmarkEnd w:id="81"/>
      <w:bookmarkEnd w:id="82"/>
      <w:bookmarkEnd w:id="83"/>
      <w:bookmarkEnd w:id="84"/>
    </w:p>
    <w:p>
      <w:r>
        <w:t>生</w:t>
      </w:r>
      <w:r>
        <w:rPr>
          <w:rFonts w:hint="eastAsia"/>
        </w:rPr>
        <w:t>产安全事故发生后，</w:t>
      </w:r>
      <w:r>
        <w:t>根据需要对事故现场采取警戒措施，强化治</w:t>
      </w:r>
      <w:r>
        <w:rPr>
          <w:rFonts w:hint="eastAsia"/>
        </w:rPr>
        <w:t>安管控，加强对重点地区、重点场所、重点人群、重要物资设备的防范保护，维持现场秩序。必要时，及时疏散群众，保持社会治安秩序的稳定。根据需要及时对现场和相关通道实行交通管控，开设应急救援特别通道，确保救灾物资、器材和人员的运送，形成快速、高效、顺畅、协调的应急运输系统。</w:t>
      </w:r>
    </w:p>
    <w:p>
      <w:pPr>
        <w:pStyle w:val="3"/>
      </w:pPr>
      <w:bookmarkStart w:id="85" w:name="_Toc88516211"/>
      <w:bookmarkStart w:id="86" w:name="_Toc54959311"/>
      <w:r>
        <w:rPr>
          <w:rFonts w:hint="eastAsia"/>
        </w:rPr>
        <w:t>7</w:t>
      </w:r>
      <w:r>
        <w:t xml:space="preserve">.5 </w:t>
      </w:r>
      <w:r>
        <w:rPr>
          <w:rFonts w:hint="eastAsia"/>
        </w:rPr>
        <w:t>应急经费</w:t>
      </w:r>
      <w:r>
        <w:t>保障</w:t>
      </w:r>
      <w:bookmarkEnd w:id="85"/>
      <w:bookmarkEnd w:id="86"/>
    </w:p>
    <w:p>
      <w:r>
        <w:t>应急救援队伍参加生产安全事故应急救援所耗费用，由事故责任单位承担，事故责任单位无力承担的，由事发地政府协调解决。充分发挥社会保险作用，进一步健全区域公共安全保险体系。</w:t>
      </w:r>
    </w:p>
    <w:p>
      <w:pPr>
        <w:pStyle w:val="3"/>
      </w:pPr>
      <w:bookmarkStart w:id="87" w:name="_Toc54959310"/>
      <w:bookmarkStart w:id="88" w:name="_Toc88516212"/>
      <w:r>
        <w:rPr>
          <w:rFonts w:hint="eastAsia"/>
        </w:rPr>
        <w:t>7</w:t>
      </w:r>
      <w:r>
        <w:t xml:space="preserve">.6 </w:t>
      </w:r>
      <w:r>
        <w:rPr>
          <w:rFonts w:hint="eastAsia"/>
        </w:rPr>
        <w:t>应急</w:t>
      </w:r>
      <w:r>
        <w:t>医疗卫生保障</w:t>
      </w:r>
      <w:bookmarkEnd w:id="87"/>
      <w:bookmarkEnd w:id="88"/>
    </w:p>
    <w:p>
      <w:r>
        <w:t>各级卫生健康部门应建立专业医疗救护队伍，配备专业救护设备，健全医疗卫生工作机制，指导或实施对危险化学品生产安全事故伤员的有效救治。</w:t>
      </w:r>
    </w:p>
    <w:p>
      <w:pPr>
        <w:pStyle w:val="3"/>
      </w:pPr>
      <w:bookmarkStart w:id="89" w:name="_Toc88516213"/>
      <w:bookmarkStart w:id="90" w:name="_Toc86077055"/>
      <w:bookmarkStart w:id="91" w:name="_Toc35332890"/>
      <w:bookmarkStart w:id="92" w:name="_Toc26731471"/>
      <w:r>
        <w:t>7</w:t>
      </w:r>
      <w:r>
        <w:rPr>
          <w:rFonts w:hint="eastAsia"/>
        </w:rPr>
        <w:t>.</w:t>
      </w:r>
      <w:r>
        <w:t>7</w:t>
      </w:r>
      <w:r>
        <w:rPr>
          <w:rFonts w:hint="eastAsia"/>
        </w:rPr>
        <w:t xml:space="preserve"> 法律保障</w:t>
      </w:r>
      <w:bookmarkEnd w:id="89"/>
      <w:bookmarkEnd w:id="90"/>
    </w:p>
    <w:p>
      <w:r>
        <w:rPr>
          <w:rFonts w:hint="eastAsia"/>
        </w:rPr>
        <w:t>有关部门应加强安全监管执法，认真贯彻执行预防生产安全事故的法律法规，加强监测监督，严肃处理违法生产行为；严厉打击制造、传播虚假信息、扰乱民心的行为，为应急处置工作创造一个良好的环境，确保应急处置工作的顺利进行。</w:t>
      </w:r>
    </w:p>
    <w:bookmarkEnd w:id="91"/>
    <w:bookmarkEnd w:id="92"/>
    <w:p>
      <w:pPr>
        <w:pStyle w:val="3"/>
      </w:pPr>
      <w:bookmarkStart w:id="93" w:name="_Toc88516214"/>
      <w:bookmarkStart w:id="94" w:name="_Toc35332892"/>
      <w:bookmarkStart w:id="95" w:name="_Toc26731473"/>
      <w:bookmarkStart w:id="96" w:name="_Toc86077056"/>
      <w:r>
        <w:t>7</w:t>
      </w:r>
      <w:r>
        <w:rPr>
          <w:rFonts w:hint="eastAsia"/>
        </w:rPr>
        <w:t>.</w:t>
      </w:r>
      <w:r>
        <w:t>8</w:t>
      </w:r>
      <w:r>
        <w:rPr>
          <w:rFonts w:hint="eastAsia"/>
        </w:rPr>
        <w:t xml:space="preserve"> 应急避难场所保障</w:t>
      </w:r>
      <w:bookmarkEnd w:id="93"/>
      <w:bookmarkEnd w:id="94"/>
      <w:bookmarkEnd w:id="95"/>
      <w:bookmarkEnd w:id="96"/>
    </w:p>
    <w:p>
      <w:r>
        <w:rPr>
          <w:rFonts w:hint="eastAsia"/>
        </w:rPr>
        <w:t>应急避难场所的归属单位应按照要求配置各种设施、设备，划定各类功能区，设置规范的标识牌，储备必要的物资，建立健全应急避难场所维护、管理制度和应急预案。</w:t>
      </w:r>
    </w:p>
    <w:p>
      <w:pPr>
        <w:pStyle w:val="3"/>
      </w:pPr>
      <w:bookmarkStart w:id="97" w:name="_Toc35332893"/>
      <w:bookmarkStart w:id="98" w:name="_Toc86077057"/>
      <w:bookmarkStart w:id="99" w:name="_Toc26731474"/>
      <w:bookmarkStart w:id="100" w:name="_Toc88516215"/>
      <w:r>
        <w:t>7</w:t>
      </w:r>
      <w:r>
        <w:rPr>
          <w:rFonts w:hint="eastAsia"/>
        </w:rPr>
        <w:t>.</w:t>
      </w:r>
      <w:r>
        <w:t>9</w:t>
      </w:r>
      <w:r>
        <w:rPr>
          <w:rFonts w:hint="eastAsia"/>
        </w:rPr>
        <w:t xml:space="preserve"> 科技支撑保障</w:t>
      </w:r>
      <w:bookmarkEnd w:id="97"/>
      <w:bookmarkEnd w:id="98"/>
      <w:bookmarkEnd w:id="99"/>
      <w:bookmarkEnd w:id="100"/>
    </w:p>
    <w:p>
      <w:r>
        <w:rPr>
          <w:rFonts w:hint="eastAsia"/>
        </w:rPr>
        <w:t>建立危险化学品重大危险源数据库，根据重大危险源的普查情况，利用重大危险源、重大事故隐患分布和基本情况台账，为生产安全事故应急救援提供基本信息。</w:t>
      </w:r>
    </w:p>
    <w:p>
      <w:r>
        <w:t>利用已建立的数据库，掌握生产安全管理信息，为生产安全事故应急救援提供保障。</w:t>
      </w:r>
    </w:p>
    <w:p>
      <w:r>
        <w:t>依托高等院校和科研院所，开展生产安全事故应急救援技术、装备等专项研究，加强生产安全事故应急救援技术储备，为生产安全事故应急救援提供技术支持。</w:t>
      </w:r>
    </w:p>
    <w:p>
      <w:pPr>
        <w:pStyle w:val="3"/>
      </w:pPr>
      <w:bookmarkStart w:id="101" w:name="_Toc88516216"/>
      <w:bookmarkStart w:id="102" w:name="_Toc86077058"/>
      <w:r>
        <w:t>7</w:t>
      </w:r>
      <w:r>
        <w:rPr>
          <w:rFonts w:hint="eastAsia"/>
        </w:rPr>
        <w:t>.</w:t>
      </w:r>
      <w:r>
        <w:t>10</w:t>
      </w:r>
      <w:r>
        <w:rPr>
          <w:rFonts w:hint="eastAsia"/>
        </w:rPr>
        <w:t xml:space="preserve"> 电力保障</w:t>
      </w:r>
      <w:bookmarkEnd w:id="101"/>
      <w:bookmarkEnd w:id="102"/>
    </w:p>
    <w:p>
      <w:r>
        <w:rPr>
          <w:rFonts w:hint="eastAsia"/>
        </w:rPr>
        <w:t>海南电网公司</w:t>
      </w:r>
      <w:r>
        <w:tab/>
      </w:r>
      <w:r>
        <w:rPr>
          <w:rFonts w:hint="eastAsia"/>
        </w:rPr>
        <w:t>负责编制海南省生产安全事故应急电力保障方案，为</w:t>
      </w:r>
      <w:r>
        <w:t>应急救援提供电力保障。</w:t>
      </w:r>
    </w:p>
    <w:p>
      <w:pPr>
        <w:pStyle w:val="3"/>
      </w:pPr>
      <w:bookmarkStart w:id="103" w:name="_Toc88516217"/>
      <w:bookmarkStart w:id="104" w:name="_Toc35332891"/>
      <w:bookmarkStart w:id="105" w:name="_Toc26731472"/>
      <w:bookmarkStart w:id="106" w:name="_Toc86077059"/>
      <w:r>
        <w:t>7</w:t>
      </w:r>
      <w:r>
        <w:rPr>
          <w:rFonts w:hint="eastAsia"/>
        </w:rPr>
        <w:t>.</w:t>
      </w:r>
      <w:r>
        <w:t>11</w:t>
      </w:r>
      <w:r>
        <w:rPr>
          <w:rFonts w:hint="eastAsia"/>
        </w:rPr>
        <w:t xml:space="preserve"> 保险制度</w:t>
      </w:r>
      <w:bookmarkEnd w:id="103"/>
      <w:bookmarkEnd w:id="104"/>
      <w:bookmarkEnd w:id="105"/>
      <w:bookmarkEnd w:id="106"/>
    </w:p>
    <w:p>
      <w:pPr>
        <w:sectPr>
          <w:pgSz w:w="11906" w:h="16838"/>
          <w:pgMar w:top="2098" w:right="1797" w:bottom="1588" w:left="1797" w:header="567" w:footer="567" w:gutter="0"/>
          <w:pgNumType w:fmt="numberInDash"/>
          <w:cols w:space="720" w:num="1"/>
          <w:docGrid w:type="lines" w:linePitch="435" w:charSpace="0"/>
        </w:sectPr>
      </w:pPr>
      <w:r>
        <w:rPr>
          <w:rFonts w:hint="eastAsia"/>
          <w:color w:val="000000"/>
        </w:rPr>
        <w:t>鼓励省各级人民政府建立政府推动与市场运作相结合的生产安全事故防范、处置及补偿机制，对存在较高生产安全风险的企业实行强制保险</w:t>
      </w:r>
      <w:r>
        <w:rPr>
          <w:rFonts w:hint="eastAsia"/>
        </w:rPr>
        <w:t>。鼓励保险机构根据法律法规的要求、地区安全生产情况和企业需求，做好安全生产责任保险产品的开发工作，为安全生产风险隐患提供保险保障，做好生产安全事故的应急处置、定损、赔偿等服务。鼓励生产经营单位投保安全生产责任保险，鼓励社会公众参与商业保障和互助保险，建立生产安全事故风险分担机制。</w:t>
      </w:r>
    </w:p>
    <w:p>
      <w:pPr>
        <w:pStyle w:val="2"/>
      </w:pPr>
      <w:bookmarkStart w:id="107" w:name="_Toc36126160"/>
      <w:bookmarkStart w:id="108" w:name="_Toc88516218"/>
      <w:bookmarkStart w:id="109" w:name="_Toc35332894"/>
      <w:bookmarkStart w:id="110" w:name="_Toc26731475"/>
      <w:r>
        <w:rPr>
          <w:rFonts w:hint="eastAsia"/>
        </w:rPr>
        <w:t>8 预案管理</w:t>
      </w:r>
      <w:bookmarkEnd w:id="107"/>
      <w:bookmarkEnd w:id="108"/>
      <w:bookmarkEnd w:id="109"/>
      <w:bookmarkEnd w:id="110"/>
    </w:p>
    <w:p>
      <w:pPr>
        <w:pStyle w:val="3"/>
      </w:pPr>
      <w:bookmarkStart w:id="111" w:name="_Toc26731476"/>
      <w:bookmarkStart w:id="112" w:name="_Toc36126161"/>
      <w:bookmarkStart w:id="113" w:name="_Toc35332895"/>
      <w:bookmarkStart w:id="114" w:name="_Toc88516219"/>
      <w:r>
        <w:rPr>
          <w:rFonts w:hint="eastAsia"/>
        </w:rPr>
        <w:t>8.1 应急演练</w:t>
      </w:r>
      <w:bookmarkEnd w:id="111"/>
      <w:bookmarkEnd w:id="112"/>
      <w:bookmarkEnd w:id="113"/>
      <w:bookmarkEnd w:id="114"/>
    </w:p>
    <w:p>
      <w:r>
        <w:rPr>
          <w:rFonts w:hint="eastAsia"/>
        </w:rPr>
        <w:t>省应急厅（省危险化学品主管部门）及有关部门不定期组织开展本预案演练，并加强对应急演练工作的督查指导。本预案演练应当至少每</w:t>
      </w:r>
      <w:r>
        <w:t>2年组织一次，演练结束后，省应急厅及参演单位应对演练效果进行评价，及时分析问题、整改完善。</w:t>
      </w:r>
    </w:p>
    <w:p>
      <w:pPr>
        <w:pStyle w:val="3"/>
      </w:pPr>
      <w:bookmarkStart w:id="115" w:name="_Toc26731477"/>
      <w:bookmarkStart w:id="116" w:name="_Toc35332896"/>
      <w:bookmarkStart w:id="117" w:name="_Toc36126162"/>
      <w:bookmarkStart w:id="118" w:name="_Toc88516220"/>
      <w:r>
        <w:rPr>
          <w:rFonts w:hint="eastAsia"/>
        </w:rPr>
        <w:t>8.2 宣传培训</w:t>
      </w:r>
      <w:bookmarkEnd w:id="115"/>
      <w:bookmarkEnd w:id="116"/>
      <w:bookmarkEnd w:id="117"/>
      <w:bookmarkEnd w:id="118"/>
    </w:p>
    <w:p>
      <w:r>
        <w:t>各级人民政府、各有关单位要积极利用电视、广播、报刊等新闻媒体，广泛宣传相关法律法规、应急预案和公众避险、自救、互救知识，增强公众</w:t>
      </w:r>
      <w:r>
        <w:rPr>
          <w:rFonts w:hint="eastAsia"/>
        </w:rPr>
        <w:t>危险化学品</w:t>
      </w:r>
      <w:r>
        <w:t>防灾减灾意识。省</w:t>
      </w:r>
      <w:r>
        <w:rPr>
          <w:rFonts w:hint="eastAsia"/>
        </w:rPr>
        <w:t>应急厅等有关单位应组织危险化学品监管干部、应急救援人员开展应急管理相关培训，提升其预防和应对危险化学品生产安全事故的意识和能力。</w:t>
      </w:r>
    </w:p>
    <w:p>
      <w:pPr>
        <w:pStyle w:val="3"/>
      </w:pPr>
      <w:bookmarkStart w:id="119" w:name="_Toc88516221"/>
      <w:bookmarkStart w:id="120" w:name="_Toc86077063"/>
      <w:r>
        <w:t>8</w:t>
      </w:r>
      <w:r>
        <w:rPr>
          <w:rFonts w:hint="eastAsia"/>
        </w:rPr>
        <w:t>.</w:t>
      </w:r>
      <w:r>
        <w:t>3</w:t>
      </w:r>
      <w:r>
        <w:rPr>
          <w:rFonts w:hint="eastAsia"/>
        </w:rPr>
        <w:t xml:space="preserve"> 预案修订</w:t>
      </w:r>
      <w:bookmarkEnd w:id="119"/>
      <w:bookmarkEnd w:id="120"/>
    </w:p>
    <w:p>
      <w:r>
        <w:t>省应急厅负责建立</w:t>
      </w:r>
      <w:r>
        <w:rPr>
          <w:rFonts w:hint="eastAsia"/>
        </w:rPr>
        <w:t>本</w:t>
      </w:r>
      <w:r>
        <w:t>预案</w:t>
      </w:r>
      <w:r>
        <w:rPr>
          <w:rFonts w:hint="eastAsia"/>
        </w:rPr>
        <w:t>的</w:t>
      </w:r>
      <w:r>
        <w:t>评估制度，原则上至少每</w:t>
      </w:r>
      <w:r>
        <w:rPr>
          <w:rFonts w:hint="eastAsia"/>
        </w:rPr>
        <w:t>三</w:t>
      </w:r>
      <w:r>
        <w:t>年对本预案评估</w:t>
      </w:r>
      <w:r>
        <w:rPr>
          <w:rFonts w:hint="eastAsia"/>
        </w:rPr>
        <w:t>一</w:t>
      </w:r>
      <w:r>
        <w:t>次，并根据评估结果进行修订。有关法律法规对应急预案修订周期另有规定的，从其规定。有下列情形之一时，应当及时修订本预案：</w:t>
      </w:r>
    </w:p>
    <w:p>
      <w:r>
        <w:rPr>
          <w:rFonts w:hint="eastAsia"/>
        </w:rPr>
        <w:t>（1）有关法律、行政法规、规章、标准、上位预案中的有关规定发生变化的；</w:t>
      </w:r>
    </w:p>
    <w:p>
      <w:r>
        <w:rPr>
          <w:rFonts w:hint="eastAsia"/>
        </w:rPr>
        <w:t>（2）应急指挥机构及其职责发生重大调整的；</w:t>
      </w:r>
    </w:p>
    <w:p>
      <w:r>
        <w:rPr>
          <w:rFonts w:hint="eastAsia"/>
        </w:rPr>
        <w:t>（3）面临的风险发生重大变化的；</w:t>
      </w:r>
    </w:p>
    <w:p>
      <w:r>
        <w:rPr>
          <w:rFonts w:hint="eastAsia"/>
        </w:rPr>
        <w:t>（4）重要应急资源发生重大变化的；</w:t>
      </w:r>
    </w:p>
    <w:p>
      <w:r>
        <w:rPr>
          <w:rFonts w:hint="eastAsia"/>
        </w:rPr>
        <w:t>（5）预案中的其他重要信息发生变化的；</w:t>
      </w:r>
    </w:p>
    <w:p>
      <w:r>
        <w:rPr>
          <w:rFonts w:hint="eastAsia"/>
        </w:rPr>
        <w:t>（6）在事故实际应对和应急演练中发现问题需要作出重大调整的；</w:t>
      </w:r>
    </w:p>
    <w:p>
      <w:r>
        <w:rPr>
          <w:rFonts w:hint="eastAsia"/>
        </w:rPr>
        <w:t>（7）应急预案制定单位认为应当修订的其他情况。</w:t>
      </w:r>
    </w:p>
    <w:p>
      <w:pPr>
        <w:pStyle w:val="3"/>
      </w:pPr>
      <w:bookmarkStart w:id="121" w:name="_Toc88516222"/>
      <w:bookmarkStart w:id="122" w:name="_Toc86077064"/>
      <w:r>
        <w:t>8</w:t>
      </w:r>
      <w:r>
        <w:rPr>
          <w:rFonts w:hint="eastAsia"/>
        </w:rPr>
        <w:t>.</w:t>
      </w:r>
      <w:r>
        <w:t>4</w:t>
      </w:r>
      <w:r>
        <w:rPr>
          <w:rFonts w:hint="eastAsia"/>
        </w:rPr>
        <w:t xml:space="preserve"> 预案实施</w:t>
      </w:r>
      <w:bookmarkEnd w:id="121"/>
      <w:bookmarkEnd w:id="122"/>
    </w:p>
    <w:p>
      <w:pPr>
        <w:widowControl/>
        <w:autoSpaceDE/>
        <w:autoSpaceDN/>
        <w:spacing w:line="240" w:lineRule="auto"/>
        <w:jc w:val="left"/>
        <w:sectPr>
          <w:pgSz w:w="11906" w:h="16838"/>
          <w:pgMar w:top="1797" w:right="1588" w:bottom="1797" w:left="2098" w:header="851" w:footer="0" w:gutter="0"/>
          <w:pgNumType w:fmt="numberInDash"/>
          <w:cols w:space="425" w:num="1"/>
          <w:docGrid w:type="linesAndChars" w:linePitch="435" w:charSpace="0"/>
        </w:sectPr>
      </w:pPr>
      <w:r>
        <w:rPr>
          <w:rFonts w:hint="eastAsia"/>
        </w:rPr>
        <w:t>本预案自印发之日起施行，《海南省危险化学品</w:t>
      </w:r>
      <w:r>
        <w:rPr>
          <w:rFonts w:hint="eastAsia"/>
          <w:lang w:eastAsia="zh-CN"/>
        </w:rPr>
        <w:t>安全生产</w:t>
      </w:r>
      <w:r>
        <w:rPr>
          <w:rFonts w:hint="eastAsia"/>
        </w:rPr>
        <w:t>事故</w:t>
      </w:r>
      <w:r>
        <w:rPr>
          <w:rFonts w:hint="eastAsia"/>
          <w:lang w:eastAsia="zh-CN"/>
        </w:rPr>
        <w:t>灾难</w:t>
      </w:r>
      <w:bookmarkStart w:id="139" w:name="_GoBack"/>
      <w:bookmarkEnd w:id="139"/>
      <w:r>
        <w:rPr>
          <w:rFonts w:hint="eastAsia"/>
        </w:rPr>
        <w:t>应急预案》（</w:t>
      </w:r>
      <w:r>
        <w:t>2016</w:t>
      </w:r>
      <w:r>
        <w:rPr>
          <w:rFonts w:hint="eastAsia"/>
        </w:rPr>
        <w:t>年版</w:t>
      </w:r>
      <w:r>
        <w:t>）同时废止。</w:t>
      </w:r>
    </w:p>
    <w:p>
      <w:pPr>
        <w:pStyle w:val="2"/>
      </w:pPr>
      <w:bookmarkStart w:id="123" w:name="_Toc35332898"/>
      <w:bookmarkStart w:id="124" w:name="_Toc36126164"/>
      <w:bookmarkStart w:id="125" w:name="_Toc88516223"/>
      <w:bookmarkStart w:id="126" w:name="_Toc26731479"/>
      <w:r>
        <w:rPr>
          <w:rFonts w:hint="eastAsia"/>
        </w:rPr>
        <w:t xml:space="preserve">9 附 </w:t>
      </w:r>
      <w:r>
        <w:t xml:space="preserve"> </w:t>
      </w:r>
      <w:r>
        <w:rPr>
          <w:rFonts w:hint="eastAsia"/>
        </w:rPr>
        <w:t>则</w:t>
      </w:r>
      <w:bookmarkEnd w:id="123"/>
      <w:bookmarkEnd w:id="124"/>
      <w:bookmarkEnd w:id="125"/>
      <w:bookmarkEnd w:id="126"/>
    </w:p>
    <w:p>
      <w:pPr>
        <w:pStyle w:val="3"/>
      </w:pPr>
      <w:bookmarkStart w:id="127" w:name="_Toc36126167"/>
      <w:bookmarkStart w:id="128" w:name="_Toc35332903"/>
      <w:bookmarkStart w:id="129" w:name="_Toc88516224"/>
      <w:r>
        <w:rPr>
          <w:rFonts w:hint="eastAsia"/>
        </w:rPr>
        <w:t>9</w:t>
      </w:r>
      <w:r>
        <w:t>.1 海南省</w:t>
      </w:r>
      <w:r>
        <w:rPr>
          <w:rFonts w:hint="eastAsia"/>
        </w:rPr>
        <w:t>危险化学品生产安全事故部门应急职责</w:t>
      </w:r>
      <w:bookmarkEnd w:id="127"/>
      <w:bookmarkEnd w:id="128"/>
      <w:bookmarkEnd w:id="129"/>
    </w:p>
    <w:tbl>
      <w:tblPr>
        <w:tblStyle w:val="31"/>
        <w:tblW w:w="131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2126"/>
        <w:gridCol w:w="10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b/>
                <w:sz w:val="24"/>
                <w:szCs w:val="21"/>
              </w:rPr>
            </w:pPr>
            <w:r>
              <w:rPr>
                <w:rFonts w:hint="eastAsia"/>
                <w:b/>
                <w:sz w:val="24"/>
                <w:szCs w:val="21"/>
              </w:rPr>
              <w:t>序号</w:t>
            </w:r>
          </w:p>
        </w:tc>
        <w:tc>
          <w:tcPr>
            <w:tcW w:w="2126" w:type="dxa"/>
            <w:shd w:val="clear" w:color="auto" w:fill="auto"/>
            <w:noWrap/>
            <w:vAlign w:val="center"/>
          </w:tcPr>
          <w:p>
            <w:pPr>
              <w:spacing w:line="240" w:lineRule="auto"/>
              <w:ind w:firstLine="0" w:firstLineChars="0"/>
              <w:jc w:val="center"/>
              <w:rPr>
                <w:b/>
                <w:sz w:val="24"/>
                <w:szCs w:val="21"/>
              </w:rPr>
            </w:pPr>
            <w:r>
              <w:rPr>
                <w:rFonts w:hint="eastAsia"/>
                <w:b/>
                <w:sz w:val="24"/>
                <w:szCs w:val="21"/>
              </w:rPr>
              <w:t>部门（单位）简称</w:t>
            </w:r>
          </w:p>
        </w:tc>
        <w:tc>
          <w:tcPr>
            <w:tcW w:w="10348" w:type="dxa"/>
            <w:shd w:val="clear" w:color="auto" w:fill="auto"/>
            <w:noWrap/>
            <w:vAlign w:val="center"/>
          </w:tcPr>
          <w:p>
            <w:pPr>
              <w:spacing w:line="240" w:lineRule="auto"/>
              <w:ind w:firstLine="0" w:firstLineChars="0"/>
              <w:jc w:val="center"/>
              <w:rPr>
                <w:b/>
                <w:sz w:val="24"/>
                <w:szCs w:val="21"/>
              </w:rPr>
            </w:pPr>
            <w:r>
              <w:rPr>
                <w:rFonts w:hint="eastAsia"/>
                <w:b/>
                <w:sz w:val="24"/>
                <w:szCs w:val="21"/>
              </w:rPr>
              <w:t>应急职责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省委宣传部</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负责新闻媒体的组织、协调和危险化学品生产安全事故情况的新闻发布和舆论引导等工作。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省人民政府办公厅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负责省政府关于生产安全事故期间的应急值守工作，配合做好事故协调、信息发布工作。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省发改委</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负责为海南省影响较大的地方性突发事件提供必要的物资方面支持与保障（重点为成品油保障），按省危险化学品生产安全事故应急救援指挥部要求提供事故常用应急救援物资的储备数量和地点。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4</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省旅文厅</w:t>
            </w:r>
          </w:p>
        </w:tc>
        <w:tc>
          <w:tcPr>
            <w:tcW w:w="10348" w:type="dxa"/>
            <w:shd w:val="clear" w:color="auto" w:fill="auto"/>
            <w:noWrap/>
            <w:vAlign w:val="center"/>
          </w:tcPr>
          <w:p>
            <w:pPr>
              <w:spacing w:line="300" w:lineRule="exact"/>
              <w:ind w:firstLine="0" w:firstLineChars="0"/>
              <w:rPr>
                <w:sz w:val="21"/>
                <w:szCs w:val="21"/>
              </w:rPr>
            </w:pPr>
            <w:r>
              <w:rPr>
                <w:rFonts w:hint="eastAsia"/>
                <w:sz w:val="21"/>
                <w:szCs w:val="21"/>
              </w:rPr>
              <w:t>负责组织、协调全省旅游行业，包括旅游景区、星级饭店、旅行社危险化学品生产安全事故的应急救援和调查处理工作。协调各市县文体局对文化娱乐场所、公众聚集场所的危险化学品生产安全事故的应急救援和调查处理工作。配合宣传部做好各类新闻媒体对危险化学品生产安全事故的报道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5</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省农业农村厅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参与农业机械、农产品加工业危险化学品生产安全事故和船舶危险化学品污染渔业水域的应急处置和调查处理。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6</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省工信厅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负责危险化学品生产安全事故应急通信的无线电频率协调保障。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7</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省财政厅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按照事权和支出责任划分原则，落实省级生产安全事故应急处置工作经费。。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8</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省人社厅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负责组织指导各地区对事故伤亡人员的工伤认定和工伤保险待遇支付工作，并参与善后处理工作。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9</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省教育厅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负责院校实验室危险化学品安全管理和事故防范处置；指导、协调校园师生等做好应急疏散和中毒防护工作。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10</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省卫健委</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负责具体组织协调应急医疗救援、卫生防疫及灾民心理危机干预工作。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11</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省公安厅</w:t>
            </w:r>
          </w:p>
        </w:tc>
        <w:tc>
          <w:tcPr>
            <w:tcW w:w="10348" w:type="dxa"/>
            <w:shd w:val="clear" w:color="auto" w:fill="auto"/>
            <w:noWrap/>
            <w:vAlign w:val="center"/>
          </w:tcPr>
          <w:p>
            <w:pPr>
              <w:spacing w:line="300" w:lineRule="exact"/>
              <w:ind w:firstLine="0" w:firstLineChars="0"/>
              <w:rPr>
                <w:sz w:val="21"/>
                <w:szCs w:val="21"/>
              </w:rPr>
            </w:pPr>
            <w:r>
              <w:rPr>
                <w:rFonts w:hint="eastAsia"/>
                <w:sz w:val="21"/>
                <w:szCs w:val="21"/>
              </w:rPr>
              <w:t>负责配合处理危险化学品运输车辆的道路交通安全事故应急处置；负责危险化学品的公共安全管理；指导、协调危险化学品生产安全事故现场及周边道路交通管控工作，协助组织受灾群众安全疏散；负责事故现场警戒、秩序维护和涉案人员管控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12</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省司法厅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负责在危险化学品生产安全事故中存在的纠纷问题提供安全生产法律援助。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13</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省资规厅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承担地质灾害发生后危险化学品生产安全事故应急救援的地质灾害防治技术支撑工作。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14</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省生态环境厅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废弃危险化学品处置的环境污染防治监督管理工作；负责组织指导、协调危险化学品生产安全事故环境应急监测工作，分析研判环境污染状况及趋势；做好应对危险化学品生产安全事故次生环境污染事件的应急准备工作，一旦发生因事故引发环境污染，根据突发环境事件应急预案的规定进行应急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15</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省住建厅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牵头处理城镇燃气设施事故的应急处置工作。负责指导因危险化学品生产安全事故造成受损建（构）筑物的评估、鉴定、处置工作，指导事故发生城市开展相关城市基础设施和公用设施的处置和恢复重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3"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16</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省交通运输厅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危险化学品道路运输、水路运输企业和港区（口）内储存、装卸、仓储经营危险化学品企业的安全管理和事故牵头处置；负责牵头组织实施涉及到省管铁路运输危险化学品的铁路交通事故的应急救援工作；负责协调生产安全事故应急期间道路和内河运输的保障工作；负责开辟救援绿色通道，协助调集、征用救援车辆等，做好事故现场抢险物资和抢险人员运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17</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省商务厅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参与危险化学品流通行业事故的应急救援和调查处理工作。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1</w:t>
            </w:r>
            <w:r>
              <w:rPr>
                <w:sz w:val="21"/>
                <w:szCs w:val="21"/>
              </w:rPr>
              <w:t>8</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省民政厅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负责会同有关部门指导、协调遇难人员遗体处置等相关事务。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sz w:val="21"/>
                <w:szCs w:val="21"/>
              </w:rPr>
              <w:t>19</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省水务厅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负责提供危险化学品生产安全事故所在地河流、水库的水情、险情及泄洪等信息；参与组织协调水库运行、水利工程建设等生产安全事故的应急救援工作。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3"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0</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省应急厅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承担省危险化学品生产安全事故应急救援指挥部综合事宜；向省危险化学品生产安全事故应急救援指挥部提出应急处置建议；负责危险化学品生产、储存、使用（属于国民经济行业分类规定的化工、医药行业）、经营（指从事列入《危险化学品目录》的危险化学品的经营包括仓储经营，不含港口存储）企业的安全管理和事故牵头处置；指导危险化学品生产安全事故应急救援，按照权限指挥调度综合性消防救援队和专业危险化学品救援队伍等参与应急救援；指导事故善后处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1</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省审计厅</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负责监督并审查危险化学品生产安全事故应急救援过程中的支出工作。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2</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省林业局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负责落实全省综合防灾减灾规划相关要求,组织编制森林火灾防治规划并指导实施;指导开展防火巡护</w:t>
            </w:r>
            <w:r>
              <w:rPr>
                <w:rFonts w:hint="eastAsia" w:ascii="微软雅黑" w:hAnsi="微软雅黑" w:eastAsia="微软雅黑" w:cs="微软雅黑"/>
                <w:sz w:val="21"/>
                <w:szCs w:val="21"/>
              </w:rPr>
              <w:t>､</w:t>
            </w:r>
            <w:r>
              <w:rPr>
                <w:rFonts w:hint="eastAsia"/>
                <w:sz w:val="21"/>
                <w:szCs w:val="21"/>
              </w:rPr>
              <w:t>火源管理</w:t>
            </w:r>
            <w:r>
              <w:rPr>
                <w:rFonts w:hint="eastAsia" w:ascii="微软雅黑" w:hAnsi="微软雅黑" w:eastAsia="微软雅黑" w:cs="微软雅黑"/>
                <w:sz w:val="21"/>
                <w:szCs w:val="21"/>
              </w:rPr>
              <w:t>､</w:t>
            </w:r>
            <w:r>
              <w:rPr>
                <w:rFonts w:hint="eastAsia"/>
                <w:sz w:val="21"/>
                <w:szCs w:val="21"/>
              </w:rPr>
              <w:t>防火设施建设等工作;组织指导国有林场林区开展防火宣传教育</w:t>
            </w:r>
            <w:r>
              <w:rPr>
                <w:rFonts w:hint="eastAsia" w:ascii="微软雅黑" w:hAnsi="微软雅黑" w:eastAsia="微软雅黑" w:cs="微软雅黑"/>
                <w:sz w:val="21"/>
                <w:szCs w:val="21"/>
              </w:rPr>
              <w:t>､</w:t>
            </w:r>
            <w:r>
              <w:rPr>
                <w:rFonts w:hint="eastAsia"/>
                <w:sz w:val="21"/>
                <w:szCs w:val="21"/>
              </w:rPr>
              <w:t>监测预警</w:t>
            </w:r>
            <w:r>
              <w:rPr>
                <w:rFonts w:hint="eastAsia" w:ascii="微软雅黑" w:hAnsi="微软雅黑" w:eastAsia="微软雅黑" w:cs="微软雅黑"/>
                <w:sz w:val="21"/>
                <w:szCs w:val="21"/>
              </w:rPr>
              <w:t>､</w:t>
            </w:r>
            <w:r>
              <w:rPr>
                <w:rFonts w:hint="eastAsia"/>
                <w:sz w:val="21"/>
                <w:szCs w:val="21"/>
              </w:rPr>
              <w:t>督促检查等工作</w:t>
            </w:r>
            <w:r>
              <w:rPr>
                <w:rFonts w:hint="eastAsia" w:ascii="微软雅黑" w:hAnsi="微软雅黑" w:eastAsia="微软雅黑" w:cs="微软雅黑"/>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3</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省国资委</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负责督促省属危险化学品企业加强安全生产应急准备和开展事故应急处置；负责协调相关省属企业派出专、兼职应急救援队伍参与应急救援工作。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4</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省市场监管局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指导、协调危险化学品生产安全事故涉及原料、产品及其包装物的质量检测、质量鉴定和事故现场压力容器、压力管道等特种设备检测、认定，提出应急救援技术措施，对事故救援现场所需特种设备提供技术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5</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省气象局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负责重大灾害性天气的监测、预报、报警工作，及时发布天气预警、预报信息；负责事故应急救援过程中的气象监测和气象预报工作。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6</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省地震局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负责建立危险化学品应急救援过程中的地震监测、预报、预警和震害防御工作体系。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7</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海南海事局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负责危险化学品生产安全事故现场的水上交通管控工作，依法参与船舶交通事故引发船载危险化学品污染内河水域或海域应急处置工作。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2</w:t>
            </w:r>
            <w:r>
              <w:rPr>
                <w:sz w:val="21"/>
                <w:szCs w:val="21"/>
              </w:rPr>
              <w:t>8</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民航海南安全监管局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经民航上级单位授权，负责牵头组织实施航空运输危险品事故、危险品事故征候的应急救援工作。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sz w:val="21"/>
                <w:szCs w:val="21"/>
              </w:rPr>
              <w:t>29</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省通管局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负责组织、协调电信运营企业危险化学品生产安全事故的应急救援工作；组织、协调电信运营商做好危险化学品生产安全事故应急救援过程中的应急通信保障和危险化学品生产安全事故调查处理等工作。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0</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省大数据管理局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负责危险化学品生产安全事故应急通信的无线电频率协调保障。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1</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省邮政管理局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负责依法查处寄递危险化学品的行为。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2</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海南银保监局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负责督促有关保险机构按照有关法律法规及保险合同约定做好保险理赔工作。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3</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省总工会</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依法参与重大、特别重大危险化学品生产安全事故的调查处理，向有关部门提出处理意见，督促事故发生单位防范和整改措施的落实。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4</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武警海南总队</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负责保护重要目标安全，解救、转移和疏散受灾人员；抢救、运送重要物资。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5</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省消防救援总队</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负责指挥消防救援队伍参与应急救援工作；负责制定事故灭火救援方案；负责事故现场火灾扑救，人员搜救和事故得到控制后的洗消工作。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6</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海口海关</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协助公安部门对危险化学品生产安全事故中所涉及从海南口岸直接申报进出口的危险化学品来源进行调查。协调、督促海南省内海关严格执行法律法规和海关规章，有效落实与安全管理相关的进出境监管规定。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7</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南方能监局海南业务办公室</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组织或参与电力事故调查处理。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3</w:t>
            </w:r>
            <w:r>
              <w:rPr>
                <w:sz w:val="21"/>
                <w:szCs w:val="21"/>
              </w:rPr>
              <w:t>8</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省委网信办</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负责收集、跟踪境内外生产安全事故舆情，负责互联网的监控、管理及网上舆论引导工作。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sz w:val="21"/>
                <w:szCs w:val="21"/>
              </w:rPr>
              <w:t>39</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广州铁路监督管理局</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参与、协调涉及到危险化学品的铁路交通事故、铁路工程施工领域的应急救援和调查处理工作；指导、督促铁路运输企业落实事故应急救援的各项规定。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4</w:t>
            </w:r>
            <w:r>
              <w:rPr>
                <w:sz w:val="21"/>
                <w:szCs w:val="21"/>
              </w:rPr>
              <w:t>0</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海南电网公司</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协调电网大面积停电事件的应急处置工作。负责提供危险化学品应急救援所需的电力保障。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4</w:t>
            </w:r>
            <w:r>
              <w:rPr>
                <w:sz w:val="21"/>
                <w:szCs w:val="21"/>
              </w:rPr>
              <w:t>1</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海南铁路有限公司</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参与、协调涉及到危险化学品的铁路交通事故、铁路工程施工领域的应急救援和调查处理工作；指导、督促铁路运输企业落实事故应急救援的各项规定。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4</w:t>
            </w:r>
            <w:r>
              <w:rPr>
                <w:sz w:val="21"/>
                <w:szCs w:val="21"/>
              </w:rPr>
              <w:t>2</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事发地市县人民政府</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按照有关规定及时向省危险化学品生产安全事故应急救援指挥部及省直有关主管部门报告危险化学品生产安全事故情况，并在第一时间采取应急处置措施，开展应急救援工作，为省应急指挥部组织应急救援提供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709" w:type="dxa"/>
            <w:shd w:val="clear" w:color="auto" w:fill="auto"/>
            <w:noWrap/>
            <w:vAlign w:val="center"/>
          </w:tcPr>
          <w:p>
            <w:pPr>
              <w:spacing w:line="240" w:lineRule="auto"/>
              <w:ind w:firstLine="0" w:firstLineChars="0"/>
              <w:jc w:val="center"/>
              <w:rPr>
                <w:sz w:val="21"/>
                <w:szCs w:val="21"/>
              </w:rPr>
            </w:pPr>
            <w:r>
              <w:rPr>
                <w:rFonts w:hint="eastAsia"/>
                <w:sz w:val="21"/>
                <w:szCs w:val="21"/>
              </w:rPr>
              <w:t>4</w:t>
            </w:r>
            <w:r>
              <w:rPr>
                <w:sz w:val="21"/>
                <w:szCs w:val="21"/>
              </w:rPr>
              <w:t>3</w:t>
            </w:r>
          </w:p>
        </w:tc>
        <w:tc>
          <w:tcPr>
            <w:tcW w:w="2126" w:type="dxa"/>
            <w:shd w:val="clear" w:color="auto" w:fill="auto"/>
            <w:noWrap/>
            <w:vAlign w:val="center"/>
          </w:tcPr>
          <w:p>
            <w:pPr>
              <w:spacing w:line="240" w:lineRule="auto"/>
              <w:ind w:firstLine="0" w:firstLineChars="0"/>
              <w:rPr>
                <w:sz w:val="21"/>
                <w:szCs w:val="21"/>
              </w:rPr>
            </w:pPr>
            <w:r>
              <w:rPr>
                <w:rFonts w:hint="eastAsia"/>
                <w:sz w:val="21"/>
                <w:szCs w:val="21"/>
              </w:rPr>
              <w:t>其他成员</w:t>
            </w:r>
          </w:p>
        </w:tc>
        <w:tc>
          <w:tcPr>
            <w:tcW w:w="10348" w:type="dxa"/>
            <w:shd w:val="clear" w:color="auto" w:fill="auto"/>
            <w:noWrap/>
            <w:vAlign w:val="center"/>
          </w:tcPr>
          <w:p>
            <w:pPr>
              <w:spacing w:line="240" w:lineRule="auto"/>
              <w:ind w:firstLine="0" w:firstLineChars="0"/>
              <w:rPr>
                <w:sz w:val="21"/>
                <w:szCs w:val="21"/>
              </w:rPr>
            </w:pPr>
            <w:r>
              <w:rPr>
                <w:rFonts w:hint="eastAsia"/>
                <w:sz w:val="21"/>
                <w:szCs w:val="21"/>
              </w:rPr>
              <w:t>在省人民政府的统一领导下，配合做好危险化学品生产安全事故应对工作。需要其他部门支持和配合时，省安委会负责协调。</w:t>
            </w:r>
          </w:p>
        </w:tc>
      </w:tr>
    </w:tbl>
    <w:p>
      <w:pPr>
        <w:sectPr>
          <w:pgSz w:w="16838" w:h="11906" w:orient="landscape"/>
          <w:pgMar w:top="2098" w:right="1797" w:bottom="1588" w:left="1797" w:header="851" w:footer="0" w:gutter="0"/>
          <w:pgNumType w:fmt="numberInDash"/>
          <w:cols w:space="425" w:num="1"/>
          <w:docGrid w:type="linesAndChars" w:linePitch="435" w:charSpace="0"/>
        </w:sectPr>
      </w:pPr>
    </w:p>
    <w:p>
      <w:pPr>
        <w:pStyle w:val="3"/>
      </w:pPr>
      <w:bookmarkStart w:id="130" w:name="_Toc88516225"/>
      <w:r>
        <w:rPr>
          <w:rFonts w:hint="eastAsia"/>
        </w:rPr>
        <w:t>9.</w:t>
      </w:r>
      <w:r>
        <w:t xml:space="preserve">2 </w:t>
      </w:r>
      <w:r>
        <w:rPr>
          <w:rFonts w:hint="eastAsia"/>
        </w:rPr>
        <w:t>危险化学品预警信息发布工作要求</w:t>
      </w:r>
      <w:bookmarkEnd w:id="130"/>
    </w:p>
    <w:p>
      <w:r>
        <w:rPr>
          <w:rFonts w:hint="eastAsia"/>
        </w:rPr>
        <w:t>各级人民政府和有关部门对危险化学品生产安全事故可能造成的险情进行监测，及时上报可能引发重大及以上事故的险情，或其它灾害、灾难可能引发重大以上事故的重要信息，并及时发布预警。</w:t>
      </w:r>
    </w:p>
    <w:tbl>
      <w:tblPr>
        <w:tblStyle w:val="31"/>
        <w:tblW w:w="493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4"/>
        <w:gridCol w:w="1329"/>
        <w:gridCol w:w="1342"/>
        <w:gridCol w:w="1863"/>
        <w:gridCol w:w="739"/>
        <w:gridCol w:w="2126"/>
        <w:gridCol w:w="3601"/>
        <w:gridCol w:w="150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1" w:hRule="atLeast"/>
          <w:jc w:val="center"/>
        </w:trPr>
        <w:tc>
          <w:tcPr>
            <w:tcW w:w="295" w:type="pct"/>
            <w:tcBorders>
              <w:top w:val="single" w:color="auto" w:sz="4" w:space="0"/>
              <w:left w:val="single" w:color="auto" w:sz="4" w:space="0"/>
              <w:bottom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b/>
                <w:color w:val="000000"/>
                <w:sz w:val="24"/>
              </w:rPr>
            </w:pPr>
            <w:r>
              <w:rPr>
                <w:rFonts w:hint="eastAsia" w:ascii="仿宋_GB2312" w:eastAsia="仿宋_GB2312"/>
                <w:b/>
                <w:color w:val="000000"/>
                <w:sz w:val="24"/>
              </w:rPr>
              <w:t>序号</w:t>
            </w:r>
          </w:p>
        </w:tc>
        <w:tc>
          <w:tcPr>
            <w:tcW w:w="500" w:type="pct"/>
            <w:tcBorders>
              <w:top w:val="single" w:color="auto" w:sz="4" w:space="0"/>
              <w:left w:val="single" w:color="auto" w:sz="4" w:space="0"/>
              <w:bottom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b/>
                <w:color w:val="000000"/>
                <w:sz w:val="24"/>
              </w:rPr>
            </w:pPr>
            <w:r>
              <w:rPr>
                <w:rFonts w:hint="eastAsia" w:ascii="仿宋_GB2312" w:eastAsia="仿宋_GB2312"/>
                <w:b/>
                <w:color w:val="000000"/>
                <w:sz w:val="24"/>
              </w:rPr>
              <w:t>场景描述</w:t>
            </w:r>
          </w:p>
        </w:tc>
        <w:tc>
          <w:tcPr>
            <w:tcW w:w="505" w:type="pc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b/>
                <w:color w:val="000000"/>
                <w:sz w:val="24"/>
              </w:rPr>
            </w:pPr>
            <w:r>
              <w:rPr>
                <w:rFonts w:hint="eastAsia" w:ascii="仿宋_GB2312" w:eastAsia="仿宋_GB2312"/>
                <w:b/>
                <w:color w:val="000000"/>
                <w:sz w:val="24"/>
              </w:rPr>
              <w:t>险情信息接收</w:t>
            </w:r>
          </w:p>
        </w:tc>
        <w:tc>
          <w:tcPr>
            <w:tcW w:w="701" w:type="pc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b/>
                <w:color w:val="000000"/>
                <w:sz w:val="24"/>
              </w:rPr>
            </w:pPr>
            <w:r>
              <w:rPr>
                <w:rFonts w:hint="eastAsia" w:ascii="仿宋_GB2312" w:eastAsia="仿宋_GB2312"/>
                <w:b/>
                <w:color w:val="000000"/>
                <w:sz w:val="24"/>
              </w:rPr>
              <w:t>省级预警响应</w:t>
            </w:r>
          </w:p>
        </w:tc>
        <w:tc>
          <w:tcPr>
            <w:tcW w:w="278" w:type="pc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b/>
                <w:color w:val="000000"/>
                <w:sz w:val="24"/>
              </w:rPr>
            </w:pPr>
            <w:r>
              <w:rPr>
                <w:rFonts w:hint="eastAsia" w:ascii="仿宋_GB2312" w:eastAsia="仿宋_GB2312"/>
                <w:b/>
                <w:color w:val="000000"/>
                <w:sz w:val="24"/>
              </w:rPr>
              <w:t>主管部门</w:t>
            </w:r>
          </w:p>
        </w:tc>
        <w:tc>
          <w:tcPr>
            <w:tcW w:w="800" w:type="pc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b/>
                <w:color w:val="000000"/>
                <w:sz w:val="24"/>
              </w:rPr>
            </w:pPr>
            <w:r>
              <w:rPr>
                <w:rFonts w:hint="eastAsia" w:ascii="仿宋_GB2312" w:eastAsia="仿宋_GB2312"/>
                <w:b/>
                <w:color w:val="000000"/>
                <w:sz w:val="24"/>
              </w:rPr>
              <w:t>发布时限/处置时限</w:t>
            </w:r>
          </w:p>
        </w:tc>
        <w:tc>
          <w:tcPr>
            <w:tcW w:w="1355" w:type="pc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b/>
                <w:color w:val="000000"/>
                <w:sz w:val="24"/>
              </w:rPr>
            </w:pPr>
            <w:r>
              <w:rPr>
                <w:rFonts w:hint="eastAsia" w:ascii="仿宋_GB2312" w:eastAsia="仿宋_GB2312"/>
                <w:b/>
                <w:color w:val="000000"/>
                <w:sz w:val="24"/>
              </w:rPr>
              <w:t>省级预警处置措施</w:t>
            </w:r>
          </w:p>
        </w:tc>
        <w:tc>
          <w:tcPr>
            <w:tcW w:w="566" w:type="pc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b/>
                <w:color w:val="000000"/>
                <w:sz w:val="24"/>
              </w:rPr>
            </w:pPr>
            <w:r>
              <w:rPr>
                <w:rFonts w:hint="eastAsia" w:ascii="仿宋_GB2312" w:eastAsia="仿宋_GB2312"/>
                <w:b/>
                <w:color w:val="000000"/>
                <w:sz w:val="24"/>
              </w:rPr>
              <w:t>行动部门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7" w:hRule="atLeast"/>
          <w:jc w:val="center"/>
        </w:trPr>
        <w:tc>
          <w:tcPr>
            <w:tcW w:w="295" w:type="pct"/>
            <w:vMerge w:val="restart"/>
            <w:tcBorders>
              <w:top w:val="single" w:color="auto" w:sz="4" w:space="0"/>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r>
              <w:rPr>
                <w:rFonts w:hint="eastAsia" w:ascii="仿宋_GB2312" w:eastAsia="仿宋_GB2312"/>
                <w:color w:val="000000"/>
                <w:sz w:val="24"/>
              </w:rPr>
              <w:t>1</w:t>
            </w:r>
          </w:p>
        </w:tc>
        <w:tc>
          <w:tcPr>
            <w:tcW w:w="500" w:type="pct"/>
            <w:vMerge w:val="restart"/>
            <w:tcBorders>
              <w:top w:val="single" w:color="auto" w:sz="4" w:space="0"/>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危险化学品在道路运输过程中发生交通事故导致危险化学品泄漏出现险情</w:t>
            </w:r>
          </w:p>
        </w:tc>
        <w:tc>
          <w:tcPr>
            <w:tcW w:w="505"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contextualSpacing/>
              <w:jc w:val="left"/>
              <w:rPr>
                <w:rFonts w:ascii="仿宋_GB2312" w:eastAsia="仿宋_GB2312"/>
                <w:color w:val="000000"/>
                <w:sz w:val="21"/>
                <w:szCs w:val="21"/>
              </w:rPr>
            </w:pPr>
            <w:r>
              <w:rPr>
                <w:rFonts w:hint="eastAsia" w:ascii="仿宋_GB2312" w:eastAsia="仿宋_GB2312"/>
                <w:color w:val="000000"/>
                <w:sz w:val="21"/>
                <w:szCs w:val="21"/>
              </w:rPr>
              <w:t>市县级人民政府自接收险情后立即将险情信息报告至省人民政府及主管部门，并及时采取先期处置工作</w:t>
            </w:r>
          </w:p>
        </w:tc>
        <w:tc>
          <w:tcPr>
            <w:tcW w:w="701"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险情不断扩大，省人民政府及主管部门根据险情可能造成的后果及影响范围，研判预警级别，发布省级预警</w:t>
            </w:r>
          </w:p>
        </w:tc>
        <w:tc>
          <w:tcPr>
            <w:tcW w:w="278"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contextualSpacing/>
              <w:jc w:val="left"/>
              <w:rPr>
                <w:rFonts w:ascii="仿宋_GB2312" w:eastAsia="仿宋_GB2312"/>
                <w:color w:val="000000"/>
                <w:sz w:val="21"/>
                <w:szCs w:val="21"/>
              </w:rPr>
            </w:pPr>
            <w:r>
              <w:rPr>
                <w:rFonts w:hint="eastAsia" w:ascii="仿宋_GB2312" w:eastAsia="仿宋_GB2312"/>
                <w:color w:val="000000"/>
                <w:sz w:val="21"/>
                <w:szCs w:val="21"/>
              </w:rPr>
              <w:t>省公安厅</w:t>
            </w:r>
          </w:p>
          <w:p>
            <w:pPr>
              <w:autoSpaceDN/>
              <w:adjustRightInd w:val="0"/>
              <w:snapToGrid w:val="0"/>
              <w:spacing w:line="240" w:lineRule="auto"/>
              <w:ind w:firstLine="0" w:firstLineChars="0"/>
              <w:contextualSpacing/>
              <w:jc w:val="left"/>
              <w:rPr>
                <w:rFonts w:ascii="仿宋_GB2312" w:eastAsia="仿宋_GB2312"/>
                <w:color w:val="000000"/>
                <w:sz w:val="21"/>
                <w:szCs w:val="21"/>
              </w:rPr>
            </w:pPr>
            <w:r>
              <w:rPr>
                <w:rFonts w:hint="eastAsia" w:ascii="仿宋_GB2312" w:eastAsia="仿宋_GB2312"/>
                <w:color w:val="000000"/>
                <w:sz w:val="21"/>
                <w:szCs w:val="21"/>
              </w:rPr>
              <w:t>省应急厅</w:t>
            </w:r>
          </w:p>
        </w:tc>
        <w:tc>
          <w:tcPr>
            <w:tcW w:w="800"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接收险情并研判核实后，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55" w:type="pct"/>
            <w:tcBorders>
              <w:top w:val="single" w:color="auto" w:sz="4" w:space="0"/>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组织先期抢险救援行动及监测、预警，力所能及地采取防控次生衍生灾害措施</w:t>
            </w:r>
          </w:p>
        </w:tc>
        <w:tc>
          <w:tcPr>
            <w:tcW w:w="566" w:type="pct"/>
            <w:tcBorders>
              <w:top w:val="single" w:color="auto"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contextualSpacing/>
              <w:jc w:val="left"/>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pacing w:line="240" w:lineRule="auto"/>
              <w:ind w:firstLine="0" w:firstLineChars="0"/>
              <w:contextualSpacing/>
              <w:jc w:val="left"/>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pacing w:line="240" w:lineRule="auto"/>
              <w:ind w:firstLine="0" w:firstLineChars="0"/>
              <w:contextualSpacing/>
              <w:rPr>
                <w:rFonts w:ascii="仿宋_GB2312" w:eastAsia="仿宋_GB2312"/>
                <w:color w:val="000000"/>
                <w:sz w:val="21"/>
                <w:szCs w:val="21"/>
              </w:rPr>
            </w:pPr>
          </w:p>
        </w:tc>
        <w:tc>
          <w:tcPr>
            <w:tcW w:w="1355" w:type="pct"/>
            <w:tcBorders>
              <w:top w:val="single" w:color="auto" w:sz="4" w:space="0"/>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立即组织疏散可能影响区域群众</w:t>
            </w:r>
          </w:p>
        </w:tc>
        <w:tc>
          <w:tcPr>
            <w:tcW w:w="566" w:type="pct"/>
            <w:tcBorders>
              <w:top w:val="single" w:color="auto"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37"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contextualSpacing/>
              <w:jc w:val="center"/>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pacing w:line="240" w:lineRule="auto"/>
              <w:ind w:firstLine="0" w:firstLineChars="0"/>
              <w:contextualSpacing/>
              <w:rPr>
                <w:rFonts w:ascii="仿宋_GB2312" w:eastAsia="仿宋_GB2312"/>
                <w:color w:val="000000"/>
                <w:sz w:val="21"/>
                <w:szCs w:val="21"/>
              </w:rPr>
            </w:pPr>
          </w:p>
        </w:tc>
        <w:tc>
          <w:tcPr>
            <w:tcW w:w="1355" w:type="pct"/>
            <w:tcBorders>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迅速控制危险源，在确保安全的情况下对泄漏源进行控制，防止事态扩大恶化，负责险情得到控制后的洗消工作</w:t>
            </w:r>
          </w:p>
        </w:tc>
        <w:tc>
          <w:tcPr>
            <w:tcW w:w="566" w:type="pct"/>
            <w:tcBorders>
              <w:top w:val="single" w:color="000000"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消防救援部门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6"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contextualSpacing/>
              <w:jc w:val="center"/>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pacing w:line="240" w:lineRule="auto"/>
              <w:ind w:firstLine="0" w:firstLineChars="0"/>
              <w:contextualSpacing/>
              <w:rPr>
                <w:rFonts w:ascii="仿宋_GB2312" w:eastAsia="仿宋_GB2312"/>
                <w:color w:val="000000"/>
                <w:sz w:val="21"/>
                <w:szCs w:val="21"/>
              </w:rPr>
            </w:pPr>
          </w:p>
        </w:tc>
        <w:tc>
          <w:tcPr>
            <w:tcW w:w="1355" w:type="pct"/>
            <w:tcBorders>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封锁有关场所，划定警戒区，维护现场秩序，采取交通管制</w:t>
            </w:r>
          </w:p>
        </w:tc>
        <w:tc>
          <w:tcPr>
            <w:tcW w:w="566" w:type="pct"/>
            <w:tcBorders>
              <w:top w:val="single" w:color="000000"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contextualSpacing/>
              <w:jc w:val="center"/>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pacing w:line="240" w:lineRule="auto"/>
              <w:ind w:firstLine="0" w:firstLineChars="0"/>
              <w:contextualSpacing/>
              <w:rPr>
                <w:rFonts w:ascii="仿宋_GB2312" w:eastAsia="仿宋_GB2312"/>
                <w:color w:val="000000"/>
                <w:sz w:val="21"/>
                <w:szCs w:val="21"/>
              </w:rPr>
            </w:pPr>
          </w:p>
        </w:tc>
        <w:tc>
          <w:tcPr>
            <w:tcW w:w="1355" w:type="pct"/>
            <w:tcBorders>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指导现场采取有效措施，防止泄漏源污染环境，负责危险化学品事故环境应急监测工作</w:t>
            </w:r>
          </w:p>
        </w:tc>
        <w:tc>
          <w:tcPr>
            <w:tcW w:w="566" w:type="pct"/>
            <w:tcBorders>
              <w:top w:val="single" w:color="000000"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contextualSpacing/>
              <w:jc w:val="center"/>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pacing w:line="240" w:lineRule="auto"/>
              <w:ind w:firstLine="0" w:firstLineChars="0"/>
              <w:contextualSpacing/>
              <w:rPr>
                <w:rFonts w:ascii="仿宋_GB2312" w:eastAsia="仿宋_GB2312"/>
                <w:color w:val="000000"/>
                <w:sz w:val="21"/>
                <w:szCs w:val="21"/>
              </w:rPr>
            </w:pPr>
          </w:p>
        </w:tc>
        <w:tc>
          <w:tcPr>
            <w:tcW w:w="1355" w:type="pct"/>
            <w:tcBorders>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做好人员救治应急准备工作</w:t>
            </w:r>
          </w:p>
        </w:tc>
        <w:tc>
          <w:tcPr>
            <w:tcW w:w="566" w:type="pct"/>
            <w:tcBorders>
              <w:top w:val="single" w:color="000000"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医疗救护部门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contextualSpacing/>
              <w:jc w:val="center"/>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pacing w:line="240" w:lineRule="auto"/>
              <w:ind w:firstLine="0" w:firstLineChars="0"/>
              <w:contextualSpacing/>
              <w:jc w:val="center"/>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pacing w:line="240" w:lineRule="auto"/>
              <w:ind w:firstLine="0" w:firstLineChars="0"/>
              <w:contextualSpacing/>
              <w:rPr>
                <w:rFonts w:ascii="仿宋_GB2312" w:eastAsia="仿宋_GB2312"/>
                <w:color w:val="000000"/>
                <w:sz w:val="21"/>
                <w:szCs w:val="21"/>
              </w:rPr>
            </w:pPr>
          </w:p>
        </w:tc>
        <w:tc>
          <w:tcPr>
            <w:tcW w:w="1355" w:type="pct"/>
            <w:tcBorders>
              <w:left w:val="single" w:color="auto"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负责协调应急资源</w:t>
            </w:r>
          </w:p>
        </w:tc>
        <w:tc>
          <w:tcPr>
            <w:tcW w:w="566" w:type="pct"/>
            <w:tcBorders>
              <w:top w:val="single" w:color="000000" w:sz="4" w:space="0"/>
              <w:left w:val="nil"/>
              <w:bottom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95" w:type="pct"/>
            <w:vMerge w:val="restart"/>
            <w:tcBorders>
              <w:top w:val="single" w:color="000000" w:sz="4" w:space="0"/>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r>
              <w:rPr>
                <w:rFonts w:hint="eastAsia" w:ascii="仿宋_GB2312" w:eastAsia="仿宋_GB2312"/>
                <w:color w:val="000000"/>
                <w:sz w:val="24"/>
              </w:rPr>
              <w:t>2</w:t>
            </w:r>
          </w:p>
        </w:tc>
        <w:tc>
          <w:tcPr>
            <w:tcW w:w="500" w:type="pct"/>
            <w:vMerge w:val="restart"/>
            <w:tcBorders>
              <w:top w:val="single" w:color="000000" w:sz="4" w:space="0"/>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生产、经营储存（非港口）、使用危险化学品单位由于储存设备故障、检维修或使用过程中操作不当等因素发生险情</w:t>
            </w:r>
          </w:p>
        </w:tc>
        <w:tc>
          <w:tcPr>
            <w:tcW w:w="505"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w:t>
            </w:r>
            <w:r>
              <w:rPr>
                <w:rFonts w:hint="eastAsia" w:ascii="仿宋_GB2312" w:eastAsia="仿宋_GB2312"/>
                <w:color w:val="000000"/>
                <w:sz w:val="21"/>
                <w:szCs w:val="21"/>
              </w:rPr>
              <w:t>并及时</w:t>
            </w:r>
            <w:r>
              <w:rPr>
                <w:rFonts w:ascii="仿宋_GB2312" w:eastAsia="仿宋_GB2312"/>
                <w:color w:val="000000"/>
                <w:sz w:val="21"/>
                <w:szCs w:val="21"/>
              </w:rPr>
              <w:t>采取先期处置工作</w:t>
            </w:r>
          </w:p>
        </w:tc>
        <w:tc>
          <w:tcPr>
            <w:tcW w:w="701"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tc>
        <w:tc>
          <w:tcPr>
            <w:tcW w:w="278"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ascii="仿宋_GB2312" w:eastAsia="仿宋_GB2312"/>
                <w:color w:val="000000"/>
                <w:sz w:val="21"/>
                <w:szCs w:val="21"/>
              </w:rPr>
              <w:t>省应急厅</w:t>
            </w:r>
          </w:p>
        </w:tc>
        <w:tc>
          <w:tcPr>
            <w:tcW w:w="800"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接收险情并核实研判后，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组织先期抢险救援行动，力所能及地采取防控次生衍生灾害措施</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1"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立即组织疏散可能影响区域群众，封锁有关场所，划定警戒区，维护现场秩序</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57"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迅速控制泄漏，在确保安全的情况下对泄漏源进行控制，防止事态扩大恶化，负责险情得到控制后的洗消工作</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消防救援部门、事故单位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8"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协调各种应急资源</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3"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指导现场采取有效措施，防止泄漏源污染环境</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生态环境部门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4"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做好人员救助的医疗救助准备工作</w:t>
            </w:r>
          </w:p>
        </w:tc>
        <w:tc>
          <w:tcPr>
            <w:tcW w:w="566" w:type="pct"/>
            <w:tcBorders>
              <w:top w:val="single" w:color="000000" w:sz="4" w:space="0"/>
              <w:left w:val="nil"/>
              <w:bottom w:val="single" w:color="000000" w:sz="4" w:space="0"/>
              <w:right w:val="single" w:color="000000" w:sz="4" w:space="0"/>
            </w:tcBorders>
          </w:tcPr>
          <w:p>
            <w:pPr>
              <w:autoSpaceDN/>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医疗救护部门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95" w:type="pct"/>
            <w:vMerge w:val="restart"/>
            <w:tcBorders>
              <w:top w:val="single" w:color="000000" w:sz="4" w:space="0"/>
              <w:left w:val="single" w:color="000000" w:sz="4" w:space="0"/>
              <w:right w:val="single" w:color="000000" w:sz="4" w:space="0"/>
            </w:tcBorders>
          </w:tcPr>
          <w:p>
            <w:pPr>
              <w:autoSpaceDN/>
              <w:adjustRightInd w:val="0"/>
              <w:spacing w:line="240" w:lineRule="auto"/>
              <w:ind w:firstLine="0" w:firstLineChars="0"/>
              <w:contextualSpacing/>
              <w:rPr>
                <w:rFonts w:ascii="仿宋_GB2312" w:eastAsia="仿宋_GB2312"/>
                <w:color w:val="000000"/>
                <w:sz w:val="24"/>
              </w:rPr>
            </w:pPr>
          </w:p>
          <w:p>
            <w:pPr>
              <w:autoSpaceDN/>
              <w:adjustRightInd w:val="0"/>
              <w:spacing w:line="240" w:lineRule="auto"/>
              <w:ind w:firstLine="0" w:firstLineChars="0"/>
              <w:contextualSpacing/>
              <w:jc w:val="center"/>
              <w:rPr>
                <w:rFonts w:ascii="仿宋_GB2312" w:eastAsia="仿宋_GB2312"/>
                <w:color w:val="000000"/>
                <w:sz w:val="24"/>
              </w:rPr>
            </w:pPr>
            <w:r>
              <w:rPr>
                <w:rFonts w:hint="eastAsia" w:ascii="仿宋_GB2312" w:eastAsia="仿宋_GB2312"/>
                <w:color w:val="000000"/>
                <w:sz w:val="24"/>
              </w:rPr>
              <w:t>3</w:t>
            </w:r>
          </w:p>
        </w:tc>
        <w:tc>
          <w:tcPr>
            <w:tcW w:w="500" w:type="pct"/>
            <w:vMerge w:val="restart"/>
            <w:tcBorders>
              <w:top w:val="single" w:color="000000" w:sz="4" w:space="0"/>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石油天然气管道（城镇燃气管道和炼油、化工等企业厂区内管道除外）由于设备故障、检维修或使用过程中操作不当等因素或自然灾害导致管道折断导致管道发生泄漏</w:t>
            </w:r>
          </w:p>
        </w:tc>
        <w:tc>
          <w:tcPr>
            <w:tcW w:w="505"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市县级人民政府自接收险情后立即将险情信息报告至省人民政府及主管部门，并及时采取先期处置工作</w:t>
            </w:r>
          </w:p>
        </w:tc>
        <w:tc>
          <w:tcPr>
            <w:tcW w:w="701"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险情不断扩大，省人民政府及主管部门根据险情可能造成的后果及影响范围，研判预警级别，发布省级预警</w:t>
            </w:r>
          </w:p>
        </w:tc>
        <w:tc>
          <w:tcPr>
            <w:tcW w:w="278"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省发改委</w:t>
            </w:r>
          </w:p>
        </w:tc>
        <w:tc>
          <w:tcPr>
            <w:tcW w:w="800"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接收险情并核实研判后，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组织先期抢险救援行动，力所能及地采取防控次生衍生灾害措施</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组织疏散可能影响区域的群众，封锁有关场所，划定警戒区，维护现场秩序，采取交通管制</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协助调集、征用救援车辆等，做好事故现场抢险物资和抢险人员运送工作</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交通部门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在确保安全的情况下，组织人员对泄漏管段进行关断控制，控制事态防止扩大</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消防救援部门、事故企业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协调相关应急资源</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5" w:hRule="atLeast"/>
          <w:jc w:val="center"/>
        </w:trPr>
        <w:tc>
          <w:tcPr>
            <w:tcW w:w="295" w:type="pct"/>
            <w:vMerge w:val="continue"/>
            <w:tcBorders>
              <w:left w:val="single" w:color="000000" w:sz="4" w:space="0"/>
              <w:bottom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bottom w:val="single" w:color="000000"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做好人员救助的医疗救助准备工作</w:t>
            </w:r>
          </w:p>
        </w:tc>
        <w:tc>
          <w:tcPr>
            <w:tcW w:w="566" w:type="pct"/>
            <w:tcBorders>
              <w:top w:val="single" w:color="000000" w:sz="4" w:space="0"/>
              <w:left w:val="nil"/>
              <w:bottom w:val="single" w:color="000000" w:sz="4" w:space="0"/>
              <w:right w:val="single" w:color="000000" w:sz="4" w:space="0"/>
            </w:tcBorders>
          </w:tcPr>
          <w:p>
            <w:pPr>
              <w:autoSpaceDN/>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医疗救护部门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8" w:hRule="atLeast"/>
          <w:jc w:val="center"/>
        </w:trPr>
        <w:tc>
          <w:tcPr>
            <w:tcW w:w="295" w:type="pct"/>
            <w:vMerge w:val="restart"/>
            <w:tcBorders>
              <w:top w:val="single" w:color="000000" w:sz="4" w:space="0"/>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r>
              <w:rPr>
                <w:rFonts w:hint="eastAsia" w:ascii="仿宋_GB2312" w:eastAsia="仿宋_GB2312"/>
                <w:color w:val="000000"/>
                <w:sz w:val="24"/>
              </w:rPr>
              <w:t>4</w:t>
            </w:r>
          </w:p>
        </w:tc>
        <w:tc>
          <w:tcPr>
            <w:tcW w:w="500" w:type="pct"/>
            <w:vMerge w:val="restart"/>
            <w:tcBorders>
              <w:top w:val="single" w:color="000000" w:sz="4" w:space="0"/>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城镇燃气由于设备故障、检维修或使用过程中操作不当等因素导致管道发生泄漏</w:t>
            </w:r>
          </w:p>
        </w:tc>
        <w:tc>
          <w:tcPr>
            <w:tcW w:w="505"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市县级人民政府自接收险情后立即将险情信息报告至省人民政府及主管部门，并及时采取先期处置工作</w:t>
            </w:r>
          </w:p>
        </w:tc>
        <w:tc>
          <w:tcPr>
            <w:tcW w:w="701"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险情不断扩大，省人民政府及主管部门根据险情可能造成的后果及影响范围，研判预警级别，发布省级预警</w:t>
            </w:r>
          </w:p>
        </w:tc>
        <w:tc>
          <w:tcPr>
            <w:tcW w:w="278"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省住建厅</w:t>
            </w:r>
          </w:p>
        </w:tc>
        <w:tc>
          <w:tcPr>
            <w:tcW w:w="800" w:type="pct"/>
            <w:vMerge w:val="restart"/>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接收险情并核实研判后，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组织先期抢险救援行动，力所能及地采取防控次生衍生灾害措施</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组织疏散可能影响区域的群众，封锁有关场所，划定警戒区，维护现场秩序</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在确保安全的情况下，组织人员对泄漏管段进行关断控制，控制事态防止扩大恶化</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消防救援部门、事故单位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9"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top w:val="single" w:color="auto" w:sz="4" w:space="0"/>
              <w:left w:val="single" w:color="auto" w:sz="4" w:space="0"/>
              <w:bottom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协调相关应急资源</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应急管理部门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3" w:hRule="atLeast"/>
          <w:jc w:val="center"/>
        </w:trPr>
        <w:tc>
          <w:tcPr>
            <w:tcW w:w="295" w:type="pct"/>
            <w:vMerge w:val="restart"/>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r>
              <w:rPr>
                <w:rFonts w:hint="eastAsia" w:ascii="仿宋_GB2312" w:eastAsia="仿宋_GB2312"/>
                <w:color w:val="000000"/>
                <w:sz w:val="24"/>
              </w:rPr>
              <w:t>5</w:t>
            </w:r>
          </w:p>
        </w:tc>
        <w:tc>
          <w:tcPr>
            <w:tcW w:w="500" w:type="pct"/>
            <w:vMerge w:val="restart"/>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ascii="仿宋_GB2312" w:eastAsia="仿宋_GB2312"/>
                <w:color w:val="000000"/>
                <w:sz w:val="21"/>
                <w:szCs w:val="21"/>
              </w:rPr>
              <w:t>化工厂有毒有害气体泄漏发生险情</w:t>
            </w:r>
          </w:p>
        </w:tc>
        <w:tc>
          <w:tcPr>
            <w:tcW w:w="505"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ascii="仿宋_GB2312" w:eastAsia="仿宋_GB2312"/>
                <w:color w:val="000000"/>
                <w:sz w:val="21"/>
                <w:szCs w:val="21"/>
              </w:rPr>
              <w:t>市县级人民政府自接收险情后立即将险情信息报告至省人民政府及主管部门，</w:t>
            </w:r>
            <w:r>
              <w:rPr>
                <w:rFonts w:hint="eastAsia" w:ascii="仿宋_GB2312" w:eastAsia="仿宋_GB2312"/>
                <w:color w:val="000000"/>
                <w:sz w:val="21"/>
                <w:szCs w:val="21"/>
              </w:rPr>
              <w:t>并及时</w:t>
            </w:r>
            <w:r>
              <w:rPr>
                <w:rFonts w:ascii="仿宋_GB2312" w:eastAsia="仿宋_GB2312"/>
                <w:color w:val="000000"/>
                <w:sz w:val="21"/>
                <w:szCs w:val="21"/>
              </w:rPr>
              <w:t>采取先期处置工作</w:t>
            </w:r>
          </w:p>
        </w:tc>
        <w:tc>
          <w:tcPr>
            <w:tcW w:w="701"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ascii="仿宋_GB2312" w:eastAsia="仿宋_GB2312"/>
                <w:color w:val="000000"/>
                <w:sz w:val="21"/>
                <w:szCs w:val="21"/>
              </w:rPr>
              <w:t>险情不断扩大，省人民政府及主管部门根据险情可能造成的后果及影响范围，研判预警级别，发布省级预警</w:t>
            </w:r>
          </w:p>
        </w:tc>
        <w:tc>
          <w:tcPr>
            <w:tcW w:w="278"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jc w:val="center"/>
              <w:rPr>
                <w:rFonts w:ascii="仿宋_GB2312" w:eastAsia="仿宋_GB2312"/>
                <w:color w:val="000000"/>
                <w:sz w:val="21"/>
                <w:szCs w:val="21"/>
              </w:rPr>
            </w:pPr>
            <w:r>
              <w:rPr>
                <w:rFonts w:ascii="仿宋_GB2312" w:eastAsia="仿宋_GB2312"/>
                <w:color w:val="000000"/>
                <w:sz w:val="21"/>
                <w:szCs w:val="21"/>
              </w:rPr>
              <w:t>省</w:t>
            </w:r>
            <w:r>
              <w:rPr>
                <w:rFonts w:hint="eastAsia" w:ascii="仿宋_GB2312" w:eastAsia="仿宋_GB2312"/>
                <w:color w:val="000000"/>
                <w:sz w:val="21"/>
                <w:szCs w:val="21"/>
              </w:rPr>
              <w:t>应急厅</w:t>
            </w:r>
          </w:p>
        </w:tc>
        <w:tc>
          <w:tcPr>
            <w:tcW w:w="800" w:type="pct"/>
            <w:vMerge w:val="restart"/>
            <w:tcBorders>
              <w:top w:val="single" w:color="auto" w:sz="4" w:space="0"/>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接收险情并核实研判后，</w:t>
            </w:r>
            <w:r>
              <w:rPr>
                <w:rFonts w:ascii="仿宋_GB2312" w:eastAsia="仿宋_GB2312"/>
                <w:color w:val="000000"/>
                <w:sz w:val="21"/>
                <w:szCs w:val="21"/>
              </w:rPr>
              <w:t>20</w:t>
            </w:r>
            <w:r>
              <w:rPr>
                <w:rFonts w:hint="eastAsia" w:ascii="仿宋_GB2312" w:eastAsia="仿宋_GB2312"/>
                <w:color w:val="000000"/>
                <w:sz w:val="21"/>
                <w:szCs w:val="21"/>
              </w:rPr>
              <w:t>分钟内完成相关部门及外界预警发布；行动部门自接收预警后，立即调度处置资源，1</w:t>
            </w:r>
            <w:r>
              <w:rPr>
                <w:rFonts w:ascii="仿宋_GB2312" w:eastAsia="仿宋_GB2312"/>
                <w:color w:val="000000"/>
                <w:sz w:val="21"/>
                <w:szCs w:val="21"/>
              </w:rPr>
              <w:t>0</w:t>
            </w:r>
            <w:r>
              <w:rPr>
                <w:rFonts w:hint="eastAsia" w:ascii="仿宋_GB2312" w:eastAsia="仿宋_GB2312"/>
                <w:color w:val="000000"/>
                <w:sz w:val="21"/>
                <w:szCs w:val="21"/>
              </w:rPr>
              <w:t>分钟内完成处置措施布置</w:t>
            </w: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组织先期抢险救援行动，关闭泄漏点</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事发地市县人民政府等部门和单位及相关企业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2"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组织疏散可能影响区域的群众，封锁有关场所，划定警戒区，维护现场秩序</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公安部门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4"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迅速控制泄漏点，对可能遭受伤害人员进行救援</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消防救援部门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2" w:hRule="atLeast"/>
          <w:jc w:val="center"/>
        </w:trPr>
        <w:tc>
          <w:tcPr>
            <w:tcW w:w="295" w:type="pct"/>
            <w:vMerge w:val="continue"/>
            <w:tcBorders>
              <w:left w:val="single" w:color="000000" w:sz="4" w:space="0"/>
              <w:right w:val="single" w:color="000000" w:sz="4" w:space="0"/>
            </w:tcBorders>
          </w:tcPr>
          <w:p>
            <w:pPr>
              <w:autoSpaceDN/>
              <w:adjustRightInd w:val="0"/>
              <w:spacing w:line="240" w:lineRule="auto"/>
              <w:ind w:firstLine="0" w:firstLineChars="0"/>
              <w:contextualSpacing/>
              <w:jc w:val="center"/>
              <w:rPr>
                <w:rFonts w:ascii="仿宋_GB2312" w:eastAsia="仿宋_GB2312"/>
                <w:color w:val="000000"/>
                <w:sz w:val="24"/>
              </w:rPr>
            </w:pPr>
          </w:p>
        </w:tc>
        <w:tc>
          <w:tcPr>
            <w:tcW w:w="500" w:type="pct"/>
            <w:vMerge w:val="continue"/>
            <w:tcBorders>
              <w:left w:val="nil"/>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505"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701"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278"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800" w:type="pct"/>
            <w:vMerge w:val="continue"/>
            <w:tcBorders>
              <w:left w:val="single" w:color="auto" w:sz="4" w:space="0"/>
              <w:right w:val="single" w:color="auto" w:sz="4" w:space="0"/>
            </w:tcBorders>
          </w:tcPr>
          <w:p>
            <w:pPr>
              <w:autoSpaceDN/>
              <w:adjustRightInd w:val="0"/>
              <w:snapToGrid w:val="0"/>
              <w:spacing w:line="240" w:lineRule="auto"/>
              <w:ind w:firstLine="0" w:firstLineChars="0"/>
              <w:rPr>
                <w:rFonts w:ascii="仿宋_GB2312" w:eastAsia="仿宋_GB2312"/>
                <w:color w:val="000000"/>
                <w:sz w:val="21"/>
                <w:szCs w:val="21"/>
              </w:rPr>
            </w:pPr>
          </w:p>
        </w:tc>
        <w:tc>
          <w:tcPr>
            <w:tcW w:w="1355" w:type="pct"/>
            <w:tcBorders>
              <w:top w:val="single" w:color="000000" w:sz="4" w:space="0"/>
              <w:left w:val="single" w:color="auto" w:sz="4" w:space="0"/>
              <w:bottom w:val="single" w:color="000000" w:sz="4" w:space="0"/>
              <w:right w:val="single" w:color="000000" w:sz="4" w:space="0"/>
            </w:tcBorders>
          </w:tcPr>
          <w:p>
            <w:pPr>
              <w:autoSpaceDN/>
              <w:adjustRightInd w:val="0"/>
              <w:snapToGrid w:val="0"/>
              <w:spacing w:line="240" w:lineRule="auto"/>
              <w:ind w:firstLine="0" w:firstLineChars="0"/>
              <w:rPr>
                <w:rFonts w:ascii="仿宋_GB2312" w:eastAsia="仿宋_GB2312"/>
                <w:color w:val="000000"/>
                <w:sz w:val="21"/>
                <w:szCs w:val="21"/>
              </w:rPr>
            </w:pPr>
            <w:r>
              <w:rPr>
                <w:rFonts w:hint="eastAsia" w:ascii="仿宋_GB2312" w:eastAsia="仿宋_GB2312"/>
                <w:color w:val="000000"/>
                <w:sz w:val="21"/>
                <w:szCs w:val="21"/>
              </w:rPr>
              <w:t>对遭受伤害的人员进行医疗救护</w:t>
            </w:r>
          </w:p>
        </w:tc>
        <w:tc>
          <w:tcPr>
            <w:tcW w:w="566" w:type="pct"/>
            <w:tcBorders>
              <w:top w:val="single" w:color="000000" w:sz="4" w:space="0"/>
              <w:left w:val="nil"/>
              <w:bottom w:val="single" w:color="000000" w:sz="4" w:space="0"/>
              <w:right w:val="single" w:color="000000" w:sz="4" w:space="0"/>
            </w:tcBorders>
          </w:tcPr>
          <w:p>
            <w:pPr>
              <w:adjustRightInd w:val="0"/>
              <w:snapToGrid w:val="0"/>
              <w:spacing w:line="240" w:lineRule="auto"/>
              <w:ind w:firstLine="0" w:firstLineChars="0"/>
              <w:jc w:val="left"/>
              <w:rPr>
                <w:rFonts w:ascii="仿宋_GB2312" w:eastAsia="仿宋_GB2312"/>
                <w:color w:val="000000"/>
                <w:sz w:val="21"/>
                <w:szCs w:val="21"/>
              </w:rPr>
            </w:pPr>
            <w:r>
              <w:rPr>
                <w:rFonts w:hint="eastAsia" w:ascii="仿宋_GB2312" w:eastAsia="仿宋_GB2312"/>
                <w:color w:val="000000"/>
                <w:sz w:val="21"/>
                <w:szCs w:val="21"/>
              </w:rPr>
              <w:t>医疗救护部门</w:t>
            </w:r>
          </w:p>
        </w:tc>
      </w:tr>
    </w:tbl>
    <w:p>
      <w:pPr>
        <w:ind w:firstLine="198" w:firstLineChars="62"/>
        <w:sectPr>
          <w:pgSz w:w="16838" w:h="11906" w:orient="landscape"/>
          <w:pgMar w:top="2098" w:right="1797" w:bottom="1588" w:left="1797" w:header="851" w:footer="0" w:gutter="0"/>
          <w:pgNumType w:fmt="numberInDash"/>
          <w:cols w:space="425" w:num="1"/>
          <w:docGrid w:type="linesAndChars" w:linePitch="435" w:charSpace="0"/>
        </w:sectPr>
      </w:pPr>
    </w:p>
    <w:p>
      <w:pPr>
        <w:pStyle w:val="3"/>
      </w:pPr>
      <w:bookmarkStart w:id="131" w:name="_Toc88516226"/>
      <w:r>
        <w:rPr>
          <w:rFonts w:hint="eastAsia"/>
        </w:rPr>
        <w:t>9.</w:t>
      </w:r>
      <w:r>
        <w:t xml:space="preserve">3 </w:t>
      </w:r>
      <w:r>
        <w:rPr>
          <w:rFonts w:hint="eastAsia"/>
        </w:rPr>
        <w:t>消防车资源</w:t>
      </w:r>
      <w:bookmarkEnd w:id="131"/>
    </w:p>
    <w:tbl>
      <w:tblPr>
        <w:tblStyle w:val="31"/>
        <w:tblW w:w="0" w:type="auto"/>
        <w:tblInd w:w="118" w:type="dxa"/>
        <w:tblLayout w:type="fixed"/>
        <w:tblCellMar>
          <w:top w:w="0" w:type="dxa"/>
          <w:left w:w="108" w:type="dxa"/>
          <w:bottom w:w="0" w:type="dxa"/>
          <w:right w:w="108" w:type="dxa"/>
        </w:tblCellMar>
      </w:tblPr>
      <w:tblGrid>
        <w:gridCol w:w="1124"/>
        <w:gridCol w:w="6946"/>
        <w:gridCol w:w="5245"/>
      </w:tblGrid>
      <w:tr>
        <w:tblPrEx>
          <w:tblCellMar>
            <w:top w:w="0" w:type="dxa"/>
            <w:left w:w="108" w:type="dxa"/>
            <w:bottom w:w="0" w:type="dxa"/>
            <w:right w:w="108" w:type="dxa"/>
          </w:tblCellMar>
        </w:tblPrEx>
        <w:trPr>
          <w:trHeight w:val="315" w:hRule="atLeast"/>
        </w:trPr>
        <w:tc>
          <w:tcPr>
            <w:tcW w:w="13315"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海南逸盛石化有限公司</w:t>
            </w:r>
          </w:p>
        </w:tc>
      </w:tr>
      <w:tr>
        <w:tblPrEx>
          <w:tblCellMar>
            <w:top w:w="0" w:type="dxa"/>
            <w:left w:w="108" w:type="dxa"/>
            <w:bottom w:w="0" w:type="dxa"/>
            <w:right w:w="108" w:type="dxa"/>
          </w:tblCellMar>
        </w:tblPrEx>
        <w:trPr>
          <w:trHeight w:val="630"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负责人</w:t>
            </w:r>
          </w:p>
        </w:tc>
        <w:tc>
          <w:tcPr>
            <w:tcW w:w="6946"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宋晓军：0898-28813811</w:t>
            </w:r>
          </w:p>
        </w:tc>
        <w:tc>
          <w:tcPr>
            <w:tcW w:w="5245" w:type="dxa"/>
            <w:tcBorders>
              <w:top w:val="single" w:color="auto" w:sz="12" w:space="0"/>
              <w:left w:val="nil"/>
              <w:bottom w:val="single" w:color="auto" w:sz="4" w:space="0"/>
              <w:right w:val="single" w:color="auto" w:sz="18" w:space="0"/>
            </w:tcBorders>
            <w:vAlign w:val="center"/>
          </w:tcPr>
          <w:p>
            <w:pPr>
              <w:spacing w:line="240" w:lineRule="exact"/>
              <w:ind w:firstLine="0" w:firstLineChars="0"/>
              <w:rPr>
                <w:sz w:val="21"/>
                <w:szCs w:val="21"/>
              </w:rPr>
            </w:pPr>
            <w:r>
              <w:rPr>
                <w:rFonts w:hint="eastAsia"/>
                <w:sz w:val="21"/>
                <w:szCs w:val="21"/>
              </w:rPr>
              <w:t>地址：洋浦经济开发区滨海大道西侧石化功能区海南逸盛石化有限公司厂区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245"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JDF5204GXFPM80型泡沫消防车（水、泡沐）</w:t>
            </w:r>
          </w:p>
        </w:tc>
        <w:tc>
          <w:tcPr>
            <w:tcW w:w="5245"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泡沫≥65</w:t>
            </w:r>
            <w:r>
              <w:rPr>
                <w:sz w:val="21"/>
                <w:szCs w:val="21"/>
              </w:rPr>
              <w:t xml:space="preserve">m  </w:t>
            </w:r>
            <w:r>
              <w:rPr>
                <w:rFonts w:hint="eastAsia"/>
                <w:sz w:val="21"/>
                <w:szCs w:val="21"/>
              </w:rPr>
              <w:t>水≥70</w:t>
            </w:r>
            <w:r>
              <w:rPr>
                <w:sz w:val="21"/>
                <w:szCs w:val="21"/>
              </w:rPr>
              <w:t>m</w:t>
            </w:r>
          </w:p>
        </w:tc>
      </w:tr>
      <w:tr>
        <w:tblPrEx>
          <w:tblCellMar>
            <w:top w:w="0" w:type="dxa"/>
            <w:left w:w="108" w:type="dxa"/>
            <w:bottom w:w="0" w:type="dxa"/>
            <w:right w:w="108" w:type="dxa"/>
          </w:tblCellMar>
        </w:tblPrEx>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JDF5190GXFGP70/Z型干粉泡沫联用消防车（水、泡沐、干粉）</w:t>
            </w:r>
          </w:p>
        </w:tc>
        <w:tc>
          <w:tcPr>
            <w:tcW w:w="5245"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泡沫≥65</w:t>
            </w:r>
            <w:r>
              <w:rPr>
                <w:sz w:val="21"/>
                <w:szCs w:val="21"/>
              </w:rPr>
              <w:t xml:space="preserve">m  </w:t>
            </w:r>
            <w:r>
              <w:rPr>
                <w:rFonts w:hint="eastAsia"/>
                <w:sz w:val="21"/>
                <w:szCs w:val="21"/>
              </w:rPr>
              <w:t>水≥70</w:t>
            </w:r>
            <w:r>
              <w:rPr>
                <w:sz w:val="21"/>
                <w:szCs w:val="21"/>
              </w:rPr>
              <w:t>m</w:t>
            </w:r>
          </w:p>
        </w:tc>
      </w:tr>
    </w:tbl>
    <w:p>
      <w:pPr>
        <w:spacing w:line="240" w:lineRule="auto"/>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245"/>
      </w:tblGrid>
      <w:tr>
        <w:tblPrEx>
          <w:tblCellMar>
            <w:top w:w="0" w:type="dxa"/>
            <w:left w:w="108" w:type="dxa"/>
            <w:bottom w:w="0" w:type="dxa"/>
            <w:right w:w="108" w:type="dxa"/>
          </w:tblCellMar>
        </w:tblPrEx>
        <w:trPr>
          <w:trHeight w:val="315" w:hRule="atLeast"/>
        </w:trPr>
        <w:tc>
          <w:tcPr>
            <w:tcW w:w="13315"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中国石化海南炼油化工有限公司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汪剑波：0898-28820068</w:t>
            </w:r>
            <w:r>
              <w:rPr>
                <w:sz w:val="21"/>
                <w:szCs w:val="21"/>
              </w:rPr>
              <w:t xml:space="preserve">  </w:t>
            </w:r>
            <w:r>
              <w:rPr>
                <w:rFonts w:hint="eastAsia"/>
                <w:sz w:val="21"/>
                <w:szCs w:val="21"/>
              </w:rPr>
              <w:t>（24小时值班电话：0898-28820000）</w:t>
            </w:r>
          </w:p>
        </w:tc>
        <w:tc>
          <w:tcPr>
            <w:tcW w:w="5245" w:type="dxa"/>
            <w:tcBorders>
              <w:top w:val="single" w:color="auto" w:sz="12" w:space="0"/>
              <w:left w:val="single" w:color="auto" w:sz="12" w:space="0"/>
              <w:bottom w:val="nil"/>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地址：海南省洋浦经济开发区洋浦大道1号</w:t>
            </w:r>
          </w:p>
        </w:tc>
      </w:tr>
      <w:tr>
        <w:tblPrEx>
          <w:tblCellMar>
            <w:top w:w="0" w:type="dxa"/>
            <w:left w:w="108" w:type="dxa"/>
            <w:bottom w:w="0" w:type="dxa"/>
            <w:right w:w="108" w:type="dxa"/>
          </w:tblCellMar>
        </w:tblPrEx>
        <w:trPr>
          <w:trHeight w:val="315" w:hRule="atLeast"/>
        </w:trPr>
        <w:tc>
          <w:tcPr>
            <w:tcW w:w="13315"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国家危险化学品</w:t>
            </w:r>
            <w:r>
              <w:rPr>
                <w:sz w:val="21"/>
                <w:szCs w:val="21"/>
              </w:rPr>
              <w:t>应急救援洋浦基地</w:t>
            </w:r>
          </w:p>
        </w:tc>
      </w:tr>
      <w:tr>
        <w:tblPrEx>
          <w:tblCellMar>
            <w:top w:w="0" w:type="dxa"/>
            <w:left w:w="108" w:type="dxa"/>
            <w:bottom w:w="0" w:type="dxa"/>
            <w:right w:w="108" w:type="dxa"/>
          </w:tblCellMar>
        </w:tblPrEx>
        <w:trPr>
          <w:trHeight w:val="315" w:hRule="atLeast"/>
        </w:trPr>
        <w:tc>
          <w:tcPr>
            <w:tcW w:w="13315"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w:t>
            </w:r>
            <w:r>
              <w:rPr>
                <w:sz w:val="21"/>
                <w:szCs w:val="21"/>
              </w:rPr>
              <w:t>100</w:t>
            </w:r>
            <w:r>
              <w:rPr>
                <w:rFonts w:hint="eastAsia"/>
                <w:sz w:val="21"/>
                <w:szCs w:val="21"/>
              </w:rPr>
              <w:t>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245"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MX5381GXFPM180</w:t>
            </w:r>
            <w:r>
              <w:rPr>
                <w:rFonts w:hint="eastAsia"/>
                <w:sz w:val="21"/>
                <w:szCs w:val="21"/>
              </w:rPr>
              <w:t>（水、泡沐）</w:t>
            </w:r>
          </w:p>
        </w:tc>
        <w:tc>
          <w:tcPr>
            <w:tcW w:w="5245"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120</w:t>
            </w:r>
            <w:r>
              <w:rPr>
                <w:sz w:val="21"/>
                <w:szCs w:val="21"/>
              </w:rPr>
              <w:t xml:space="preserve">    </w:t>
            </w:r>
            <w:r>
              <w:rPr>
                <w:rFonts w:hint="eastAsia"/>
                <w:sz w:val="21"/>
                <w:szCs w:val="21"/>
              </w:rPr>
              <w:t>泡沫</w:t>
            </w:r>
            <w:r>
              <w:rPr>
                <w:sz w:val="21"/>
                <w:szCs w:val="21"/>
              </w:rPr>
              <w:t>≥100</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MX5381GXFPM180</w:t>
            </w:r>
            <w:r>
              <w:rPr>
                <w:rFonts w:hint="eastAsia"/>
                <w:sz w:val="21"/>
                <w:szCs w:val="21"/>
              </w:rPr>
              <w:t>（水、泡沐）</w:t>
            </w:r>
          </w:p>
        </w:tc>
        <w:tc>
          <w:tcPr>
            <w:tcW w:w="5245"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120</w:t>
            </w:r>
            <w:r>
              <w:rPr>
                <w:sz w:val="21"/>
                <w:szCs w:val="21"/>
              </w:rPr>
              <w:t xml:space="preserve">    </w:t>
            </w:r>
            <w:r>
              <w:rPr>
                <w:rFonts w:hint="eastAsia"/>
                <w:sz w:val="21"/>
                <w:szCs w:val="21"/>
              </w:rPr>
              <w:t>泡沫</w:t>
            </w:r>
            <w:r>
              <w:rPr>
                <w:sz w:val="21"/>
                <w:szCs w:val="21"/>
              </w:rPr>
              <w:t>≥100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sz w:val="21"/>
                <w:szCs w:val="21"/>
              </w:rPr>
              <w:t>SXT5417JXFJP18</w:t>
            </w:r>
            <w:r>
              <w:rPr>
                <w:rFonts w:hint="eastAsia"/>
                <w:sz w:val="21"/>
                <w:szCs w:val="21"/>
              </w:rPr>
              <w:t>（水、泡沫）</w:t>
            </w:r>
          </w:p>
        </w:tc>
        <w:tc>
          <w:tcPr>
            <w:tcW w:w="5245"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≥100    </w:t>
            </w:r>
            <w:r>
              <w:rPr>
                <w:rFonts w:hint="eastAsia"/>
                <w:sz w:val="21"/>
                <w:szCs w:val="21"/>
              </w:rPr>
              <w:t>泡沫</w:t>
            </w:r>
            <w:r>
              <w:rPr>
                <w:sz w:val="21"/>
                <w:szCs w:val="21"/>
              </w:rPr>
              <w:t>≥80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SXT5430JXFJP51/33</w:t>
            </w:r>
            <w:r>
              <w:rPr>
                <w:rFonts w:hint="eastAsia"/>
                <w:sz w:val="21"/>
                <w:szCs w:val="21"/>
              </w:rPr>
              <w:t>（水、泡沐）</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SXT5430JXFJP51/33</w:t>
            </w:r>
            <w:r>
              <w:rPr>
                <w:rFonts w:hint="eastAsia"/>
                <w:sz w:val="21"/>
                <w:szCs w:val="21"/>
              </w:rPr>
              <w:t>（水、泡沐）</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XZJ5421JXFJP62/S1</w:t>
            </w:r>
            <w:r>
              <w:rPr>
                <w:rFonts w:hint="eastAsia"/>
                <w:sz w:val="21"/>
                <w:szCs w:val="21"/>
              </w:rPr>
              <w:t>（水、泡沐）</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7</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XZJ5421JXFJP62/S1</w:t>
            </w:r>
            <w:r>
              <w:rPr>
                <w:rFonts w:hint="eastAsia"/>
                <w:sz w:val="21"/>
                <w:szCs w:val="21"/>
              </w:rPr>
              <w:t>（水、泡沐）</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8</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SXT5420JXFJP70</w:t>
            </w:r>
            <w:r>
              <w:rPr>
                <w:rFonts w:hint="eastAsia"/>
                <w:sz w:val="21"/>
                <w:szCs w:val="21"/>
              </w:rPr>
              <w:t>（水、泡沐）</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 xml:space="preserve">≥ 80   </w:t>
            </w:r>
            <w:r>
              <w:rPr>
                <w:rFonts w:hint="eastAsia"/>
                <w:sz w:val="21"/>
                <w:szCs w:val="21"/>
              </w:rPr>
              <w:t>泡沫</w:t>
            </w:r>
            <w:r>
              <w:rPr>
                <w:sz w:val="21"/>
                <w:szCs w:val="21"/>
              </w:rPr>
              <w:t>≥60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9</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MX5340JXFJP25/SS</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水≥80米     泡沫≥</w:t>
            </w:r>
            <w:r>
              <w:rPr>
                <w:sz w:val="21"/>
                <w:szCs w:val="21"/>
              </w:rPr>
              <w:t>60</w:t>
            </w:r>
            <w:r>
              <w:rPr>
                <w:rFonts w:hint="eastAsia"/>
                <w:sz w:val="21"/>
                <w:szCs w:val="21"/>
              </w:rPr>
              <w:t>米  干粉≥30米（未充装氮气）</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10</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MX5270TXFBP400</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增压</w:t>
            </w:r>
            <w:r>
              <w:rPr>
                <w:sz w:val="21"/>
                <w:szCs w:val="21"/>
              </w:rPr>
              <w:t>泵浦车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11</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MX5270TXFBP400/P</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200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12</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SXF5151TXFJY168</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抢险救援</w:t>
            </w:r>
            <w:r>
              <w:rPr>
                <w:sz w:val="21"/>
                <w:szCs w:val="21"/>
              </w:rPr>
              <w:t>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13</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MX5043TXFTZ1000</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气防消防车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14</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LLX5145TXFGQ90/L</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供气消防车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15</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MX53207XFDF30</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水带敷设车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16</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MX53207XFDF30</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水带敷设车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17</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MX53207XFDF30</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水带敷设车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18</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LLX5185TXFXX30/B</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洗消消防车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19</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CEV5160XTX</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通讯指挥消防车</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20</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SXF5361GXFGY200</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泡沫原液供液车</w:t>
            </w:r>
          </w:p>
        </w:tc>
      </w:tr>
    </w:tbl>
    <w:p>
      <w:pPr>
        <w:spacing w:line="240" w:lineRule="exact"/>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663"/>
        <w:gridCol w:w="5528"/>
      </w:tblGrid>
      <w:tr>
        <w:tblPrEx>
          <w:tblCellMar>
            <w:top w:w="0" w:type="dxa"/>
            <w:left w:w="108" w:type="dxa"/>
            <w:bottom w:w="0" w:type="dxa"/>
            <w:right w:w="108" w:type="dxa"/>
          </w:tblCellMar>
        </w:tblPrEx>
        <w:trPr>
          <w:trHeight w:val="282" w:hRule="atLeast"/>
        </w:trPr>
        <w:tc>
          <w:tcPr>
            <w:tcW w:w="13315"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4"/>
                <w:szCs w:val="21"/>
              </w:rPr>
            </w:pPr>
            <w:r>
              <w:rPr>
                <w:rFonts w:hint="eastAsia"/>
                <w:b/>
                <w:sz w:val="24"/>
                <w:szCs w:val="21"/>
              </w:rPr>
              <w:t>中海石油海南天然气有限公司</w:t>
            </w:r>
          </w:p>
        </w:tc>
      </w:tr>
      <w:tr>
        <w:tblPrEx>
          <w:tblCellMar>
            <w:top w:w="0" w:type="dxa"/>
            <w:left w:w="108" w:type="dxa"/>
            <w:bottom w:w="0" w:type="dxa"/>
            <w:right w:w="108" w:type="dxa"/>
          </w:tblCellMar>
        </w:tblPrEx>
        <w:trPr>
          <w:trHeight w:val="434"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663"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陈明智：0898-</w:t>
            </w:r>
            <w:r>
              <w:rPr>
                <w:sz w:val="21"/>
                <w:szCs w:val="21"/>
              </w:rPr>
              <w:t>28835951</w:t>
            </w:r>
          </w:p>
        </w:tc>
        <w:tc>
          <w:tcPr>
            <w:tcW w:w="5528"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地址：洋浦经济开发区滨海大道7</w:t>
            </w:r>
            <w:r>
              <w:rPr>
                <w:sz w:val="21"/>
                <w:szCs w:val="21"/>
              </w:rPr>
              <w:t>5</w:t>
            </w:r>
            <w:r>
              <w:rPr>
                <w:rFonts w:hint="eastAsia"/>
                <w:sz w:val="21"/>
                <w:szCs w:val="21"/>
              </w:rPr>
              <w:t>号海南LNG</w:t>
            </w:r>
          </w:p>
        </w:tc>
      </w:tr>
      <w:tr>
        <w:tblPrEx>
          <w:tblCellMar>
            <w:top w:w="0" w:type="dxa"/>
            <w:left w:w="108" w:type="dxa"/>
            <w:bottom w:w="0" w:type="dxa"/>
            <w:right w:w="108" w:type="dxa"/>
          </w:tblCellMar>
        </w:tblPrEx>
        <w:trPr>
          <w:trHeight w:val="418" w:hRule="atLeast"/>
        </w:trPr>
        <w:tc>
          <w:tcPr>
            <w:tcW w:w="13315"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专职消防队总人数：1</w:t>
            </w:r>
            <w:r>
              <w:rPr>
                <w:sz w:val="21"/>
                <w:szCs w:val="21"/>
              </w:rPr>
              <w:t>9</w:t>
            </w:r>
            <w:r>
              <w:rPr>
                <w:rFonts w:hint="eastAsia"/>
                <w:sz w:val="21"/>
                <w:szCs w:val="21"/>
              </w:rPr>
              <w:t>人</w:t>
            </w:r>
          </w:p>
        </w:tc>
      </w:tr>
      <w:tr>
        <w:tblPrEx>
          <w:tblCellMar>
            <w:top w:w="0" w:type="dxa"/>
            <w:left w:w="108" w:type="dxa"/>
            <w:bottom w:w="0" w:type="dxa"/>
            <w:right w:w="108" w:type="dxa"/>
          </w:tblCellMar>
        </w:tblPrEx>
        <w:trPr>
          <w:trHeight w:val="269"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663"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528"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58"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663"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S</w:t>
            </w:r>
            <w:r>
              <w:rPr>
                <w:sz w:val="21"/>
                <w:szCs w:val="21"/>
              </w:rPr>
              <w:t>XF5240TXFGF60/HW</w:t>
            </w:r>
            <w:r>
              <w:rPr>
                <w:rFonts w:hint="eastAsia"/>
                <w:sz w:val="21"/>
                <w:szCs w:val="21"/>
              </w:rPr>
              <w:t>型干粉消防车（干粉）</w:t>
            </w:r>
          </w:p>
        </w:tc>
        <w:tc>
          <w:tcPr>
            <w:tcW w:w="5528"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w:t>
            </w:r>
            <w:r>
              <w:rPr>
                <w:sz w:val="21"/>
                <w:szCs w:val="21"/>
              </w:rPr>
              <w:t>40</w:t>
            </w:r>
            <w:r>
              <w:rPr>
                <w:rFonts w:hint="eastAsia"/>
                <w:sz w:val="21"/>
                <w:szCs w:val="21"/>
              </w:rPr>
              <w:t>米</w:t>
            </w:r>
          </w:p>
        </w:tc>
      </w:tr>
    </w:tbl>
    <w:p>
      <w:pPr>
        <w:spacing w:line="240" w:lineRule="exact"/>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245"/>
      </w:tblGrid>
      <w:tr>
        <w:tblPrEx>
          <w:tblCellMar>
            <w:top w:w="0" w:type="dxa"/>
            <w:left w:w="108" w:type="dxa"/>
            <w:bottom w:w="0" w:type="dxa"/>
            <w:right w:w="108" w:type="dxa"/>
          </w:tblCellMar>
        </w:tblPrEx>
        <w:trPr>
          <w:trHeight w:val="315" w:hRule="atLeast"/>
        </w:trPr>
        <w:tc>
          <w:tcPr>
            <w:tcW w:w="13315"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海南华信石油基地有限公司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郭等龙： 0898-28837166</w:t>
            </w:r>
          </w:p>
        </w:tc>
        <w:tc>
          <w:tcPr>
            <w:tcW w:w="5245" w:type="dxa"/>
            <w:tcBorders>
              <w:top w:val="single" w:color="auto" w:sz="12" w:space="0"/>
              <w:left w:val="single" w:color="auto" w:sz="12" w:space="0"/>
              <w:bottom w:val="nil"/>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地址：海南省洋浦经济开发区石化功能区滨海大道85号</w:t>
            </w:r>
          </w:p>
        </w:tc>
      </w:tr>
      <w:tr>
        <w:tblPrEx>
          <w:tblCellMar>
            <w:top w:w="0" w:type="dxa"/>
            <w:left w:w="108" w:type="dxa"/>
            <w:bottom w:w="0" w:type="dxa"/>
            <w:right w:w="108" w:type="dxa"/>
          </w:tblCellMar>
        </w:tblPrEx>
        <w:trPr>
          <w:trHeight w:val="315" w:hRule="atLeast"/>
        </w:trPr>
        <w:tc>
          <w:tcPr>
            <w:tcW w:w="13315"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海南华信专职消防队</w:t>
            </w:r>
          </w:p>
        </w:tc>
      </w:tr>
      <w:tr>
        <w:tblPrEx>
          <w:tblCellMar>
            <w:top w:w="0" w:type="dxa"/>
            <w:left w:w="108" w:type="dxa"/>
            <w:bottom w:w="0" w:type="dxa"/>
            <w:right w:w="108" w:type="dxa"/>
          </w:tblCellMar>
        </w:tblPrEx>
        <w:trPr>
          <w:trHeight w:val="315" w:hRule="atLeast"/>
        </w:trPr>
        <w:tc>
          <w:tcPr>
            <w:tcW w:w="13315"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专职消防队员总数：21人</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JD</w:t>
            </w:r>
            <w:r>
              <w:rPr>
                <w:sz w:val="21"/>
                <w:szCs w:val="21"/>
              </w:rPr>
              <w:t>X5320GXFPM160/B</w:t>
            </w:r>
            <w:r>
              <w:rPr>
                <w:rFonts w:hint="eastAsia"/>
                <w:sz w:val="21"/>
                <w:szCs w:val="21"/>
              </w:rPr>
              <w:t>型泡沫消防车（水、泡沫）</w:t>
            </w:r>
          </w:p>
        </w:tc>
        <w:tc>
          <w:tcPr>
            <w:tcW w:w="5245"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80</w:t>
            </w:r>
            <w:r>
              <w:rPr>
                <w:rFonts w:hint="eastAsia"/>
                <w:sz w:val="21"/>
                <w:szCs w:val="21"/>
              </w:rPr>
              <w:t>米、泡沫</w:t>
            </w:r>
            <w:r>
              <w:rPr>
                <w:sz w:val="21"/>
                <w:szCs w:val="21"/>
              </w:rPr>
              <w:t>70</w:t>
            </w:r>
            <w:r>
              <w:rPr>
                <w:rFonts w:hint="eastAsia"/>
                <w:sz w:val="21"/>
                <w:szCs w:val="21"/>
              </w:rPr>
              <w:t>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sz w:val="21"/>
                <w:szCs w:val="21"/>
              </w:rPr>
              <w:t>JD5320JXFJP43</w:t>
            </w:r>
            <w:r>
              <w:rPr>
                <w:rFonts w:hint="eastAsia"/>
                <w:sz w:val="21"/>
                <w:szCs w:val="21"/>
              </w:rPr>
              <w:t>型举高喷射消防车（水、泡沫）</w:t>
            </w:r>
          </w:p>
        </w:tc>
        <w:tc>
          <w:tcPr>
            <w:tcW w:w="5245"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80</w:t>
            </w:r>
            <w:r>
              <w:rPr>
                <w:rFonts w:hint="eastAsia"/>
                <w:sz w:val="21"/>
                <w:szCs w:val="21"/>
              </w:rPr>
              <w:t>米、泡沫</w:t>
            </w:r>
            <w:r>
              <w:rPr>
                <w:sz w:val="21"/>
                <w:szCs w:val="21"/>
              </w:rPr>
              <w:t>70</w:t>
            </w:r>
            <w:r>
              <w:rPr>
                <w:rFonts w:hint="eastAsia"/>
                <w:sz w:val="21"/>
                <w:szCs w:val="21"/>
              </w:rPr>
              <w:t>米</w:t>
            </w:r>
          </w:p>
        </w:tc>
      </w:tr>
    </w:tbl>
    <w:p>
      <w:pPr>
        <w:widowControl/>
        <w:autoSpaceDE/>
        <w:autoSpaceDN/>
        <w:spacing w:line="240" w:lineRule="exact"/>
        <w:ind w:firstLine="0" w:firstLineChars="0"/>
        <w:jc w:val="left"/>
        <w:rPr>
          <w:sz w:val="24"/>
        </w:rPr>
      </w:pPr>
    </w:p>
    <w:tbl>
      <w:tblPr>
        <w:tblStyle w:val="31"/>
        <w:tblW w:w="0" w:type="auto"/>
        <w:tblInd w:w="118" w:type="dxa"/>
        <w:tblLayout w:type="fixed"/>
        <w:tblCellMar>
          <w:top w:w="0" w:type="dxa"/>
          <w:left w:w="108" w:type="dxa"/>
          <w:bottom w:w="0" w:type="dxa"/>
          <w:right w:w="108" w:type="dxa"/>
        </w:tblCellMar>
      </w:tblPr>
      <w:tblGrid>
        <w:gridCol w:w="1124"/>
        <w:gridCol w:w="6946"/>
        <w:gridCol w:w="5245"/>
      </w:tblGrid>
      <w:tr>
        <w:tblPrEx>
          <w:tblCellMar>
            <w:top w:w="0" w:type="dxa"/>
            <w:left w:w="108" w:type="dxa"/>
            <w:bottom w:w="0" w:type="dxa"/>
            <w:right w:w="108" w:type="dxa"/>
          </w:tblCellMar>
        </w:tblPrEx>
        <w:trPr>
          <w:trHeight w:val="315" w:hRule="atLeast"/>
        </w:trPr>
        <w:tc>
          <w:tcPr>
            <w:tcW w:w="13315"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中石化（香港）海南石油有限公司</w:t>
            </w:r>
          </w:p>
        </w:tc>
      </w:tr>
      <w:tr>
        <w:tblPrEx>
          <w:tblCellMar>
            <w:top w:w="0" w:type="dxa"/>
            <w:left w:w="108" w:type="dxa"/>
            <w:bottom w:w="0" w:type="dxa"/>
            <w:right w:w="108" w:type="dxa"/>
          </w:tblCellMar>
        </w:tblPrEx>
        <w:trPr>
          <w:trHeight w:val="630"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吴刚：0898-2881</w:t>
            </w:r>
            <w:r>
              <w:rPr>
                <w:sz w:val="21"/>
                <w:szCs w:val="21"/>
              </w:rPr>
              <w:t>2817</w:t>
            </w:r>
            <w:r>
              <w:rPr>
                <w:rFonts w:hint="eastAsia"/>
                <w:sz w:val="21"/>
                <w:szCs w:val="21"/>
              </w:rPr>
              <w:t>（值班电话：</w:t>
            </w:r>
            <w:r>
              <w:rPr>
                <w:sz w:val="21"/>
                <w:szCs w:val="21"/>
              </w:rPr>
              <w:t>0898-28812896）</w:t>
            </w:r>
          </w:p>
        </w:tc>
        <w:tc>
          <w:tcPr>
            <w:tcW w:w="5245" w:type="dxa"/>
            <w:tcBorders>
              <w:top w:val="single" w:color="auto" w:sz="12" w:space="0"/>
              <w:left w:val="nil"/>
              <w:bottom w:val="single" w:color="auto" w:sz="4" w:space="0"/>
              <w:right w:val="single" w:color="auto" w:sz="18" w:space="0"/>
            </w:tcBorders>
            <w:vAlign w:val="center"/>
          </w:tcPr>
          <w:p>
            <w:pPr>
              <w:spacing w:line="300" w:lineRule="exact"/>
              <w:ind w:firstLine="0" w:firstLineChars="0"/>
              <w:rPr>
                <w:sz w:val="21"/>
                <w:szCs w:val="21"/>
              </w:rPr>
            </w:pPr>
            <w:r>
              <w:rPr>
                <w:rFonts w:hint="eastAsia"/>
                <w:sz w:val="21"/>
                <w:szCs w:val="21"/>
              </w:rPr>
              <w:t>地址：洋浦经济开发区滨海大道西侧石化功能区中石化（香港）海南石油有限公司</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245"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LLX5285GXFPM120/B型泡沫消防车</w:t>
            </w:r>
          </w:p>
        </w:tc>
        <w:tc>
          <w:tcPr>
            <w:tcW w:w="5245"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最大流量7600L/min，射程可达90m</w:t>
            </w:r>
          </w:p>
        </w:tc>
      </w:tr>
      <w:tr>
        <w:tblPrEx>
          <w:tblCellMar>
            <w:top w:w="0" w:type="dxa"/>
            <w:left w:w="108" w:type="dxa"/>
            <w:bottom w:w="0" w:type="dxa"/>
            <w:right w:w="108" w:type="dxa"/>
          </w:tblCellMar>
        </w:tblPrEx>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LLX5285GXFPM120/B型泡沫消防车</w:t>
            </w:r>
          </w:p>
        </w:tc>
        <w:tc>
          <w:tcPr>
            <w:tcW w:w="5245"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最大流量7600L/min，射程可达90m</w:t>
            </w:r>
          </w:p>
        </w:tc>
      </w:tr>
    </w:tbl>
    <w:p>
      <w:pPr>
        <w:spacing w:line="240" w:lineRule="exact"/>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103"/>
      </w:tblGrid>
      <w:tr>
        <w:tblPrEx>
          <w:tblCellMar>
            <w:top w:w="0" w:type="dxa"/>
            <w:left w:w="108" w:type="dxa"/>
            <w:bottom w:w="0" w:type="dxa"/>
            <w:right w:w="108" w:type="dxa"/>
          </w:tblCellMar>
        </w:tblPrEx>
        <w:trPr>
          <w:trHeight w:val="315" w:hRule="atLeast"/>
        </w:trPr>
        <w:tc>
          <w:tcPr>
            <w:tcW w:w="13173"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中国石化商储公司海南分公司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张强：</w:t>
            </w:r>
            <w:r>
              <w:rPr>
                <w:sz w:val="21"/>
                <w:szCs w:val="21"/>
              </w:rPr>
              <w:t>0898-36998997  （消防值班：0898-36998919）</w:t>
            </w:r>
          </w:p>
        </w:tc>
        <w:tc>
          <w:tcPr>
            <w:tcW w:w="5103" w:type="dxa"/>
            <w:tcBorders>
              <w:top w:val="single" w:color="auto" w:sz="12" w:space="0"/>
              <w:left w:val="single" w:color="auto" w:sz="12" w:space="0"/>
              <w:bottom w:val="nil"/>
              <w:right w:val="single" w:color="auto" w:sz="18" w:space="0"/>
            </w:tcBorders>
            <w:vAlign w:val="center"/>
          </w:tcPr>
          <w:p>
            <w:pPr>
              <w:spacing w:line="300" w:lineRule="exact"/>
              <w:ind w:firstLine="0" w:firstLineChars="0"/>
              <w:rPr>
                <w:sz w:val="21"/>
                <w:szCs w:val="21"/>
              </w:rPr>
            </w:pPr>
            <w:r>
              <w:rPr>
                <w:rFonts w:hint="eastAsia"/>
                <w:sz w:val="21"/>
                <w:szCs w:val="21"/>
              </w:rPr>
              <w:t>地址：洋浦经济开发区滨海大道西侧石化功能区中国石化商储公司海南分公司厂区</w:t>
            </w:r>
          </w:p>
        </w:tc>
      </w:tr>
      <w:tr>
        <w:tblPrEx>
          <w:tblCellMar>
            <w:top w:w="0" w:type="dxa"/>
            <w:left w:w="108" w:type="dxa"/>
            <w:bottom w:w="0" w:type="dxa"/>
            <w:right w:w="108" w:type="dxa"/>
          </w:tblCellMar>
        </w:tblPrEx>
        <w:trPr>
          <w:trHeight w:val="315" w:hRule="atLeast"/>
        </w:trPr>
        <w:tc>
          <w:tcPr>
            <w:tcW w:w="13173"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商储专职消防队</w:t>
            </w:r>
          </w:p>
        </w:tc>
      </w:tr>
      <w:tr>
        <w:tblPrEx>
          <w:tblCellMar>
            <w:top w:w="0" w:type="dxa"/>
            <w:left w:w="108" w:type="dxa"/>
            <w:bottom w:w="0" w:type="dxa"/>
            <w:right w:w="108" w:type="dxa"/>
          </w:tblCellMar>
        </w:tblPrEx>
        <w:trPr>
          <w:trHeight w:val="315" w:hRule="atLeast"/>
        </w:trPr>
        <w:tc>
          <w:tcPr>
            <w:tcW w:w="13173"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专职消防队员总数：20人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103"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421"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MX5381GXPPM180（水、泡沐）</w:t>
            </w:r>
          </w:p>
        </w:tc>
        <w:tc>
          <w:tcPr>
            <w:tcW w:w="5103"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120米</w:t>
            </w:r>
          </w:p>
        </w:tc>
      </w:tr>
      <w:tr>
        <w:tblPrEx>
          <w:tblCellMar>
            <w:top w:w="0" w:type="dxa"/>
            <w:left w:w="108" w:type="dxa"/>
            <w:bottom w:w="0" w:type="dxa"/>
            <w:right w:w="108" w:type="dxa"/>
          </w:tblCellMar>
        </w:tblPrEx>
        <w:trPr>
          <w:trHeight w:val="77"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sz w:val="21"/>
                <w:szCs w:val="21"/>
              </w:rPr>
              <w:t>SXT5320JXFJP42（水、泡沐）</w:t>
            </w:r>
          </w:p>
        </w:tc>
        <w:tc>
          <w:tcPr>
            <w:tcW w:w="5103"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水≥85米     泡沫≥75米</w:t>
            </w:r>
          </w:p>
        </w:tc>
      </w:tr>
    </w:tbl>
    <w:p>
      <w:pPr>
        <w:spacing w:line="240" w:lineRule="exact"/>
        <w:ind w:firstLine="40"/>
        <w:rPr>
          <w:sz w:val="2"/>
          <w:szCs w:val="2"/>
        </w:rPr>
      </w:pPr>
    </w:p>
    <w:tbl>
      <w:tblPr>
        <w:tblStyle w:val="31"/>
        <w:tblW w:w="13173" w:type="dxa"/>
        <w:tblInd w:w="118" w:type="dxa"/>
        <w:tblLayout w:type="fixed"/>
        <w:tblCellMar>
          <w:top w:w="0" w:type="dxa"/>
          <w:left w:w="108" w:type="dxa"/>
          <w:bottom w:w="0" w:type="dxa"/>
          <w:right w:w="108" w:type="dxa"/>
        </w:tblCellMar>
      </w:tblPr>
      <w:tblGrid>
        <w:gridCol w:w="1124"/>
        <w:gridCol w:w="6804"/>
        <w:gridCol w:w="5245"/>
      </w:tblGrid>
      <w:tr>
        <w:tblPrEx>
          <w:tblCellMar>
            <w:top w:w="0" w:type="dxa"/>
            <w:left w:w="108" w:type="dxa"/>
            <w:bottom w:w="0" w:type="dxa"/>
            <w:right w:w="108" w:type="dxa"/>
          </w:tblCellMar>
        </w:tblPrEx>
        <w:trPr>
          <w:trHeight w:val="315" w:hRule="atLeast"/>
        </w:trPr>
        <w:tc>
          <w:tcPr>
            <w:tcW w:w="13173"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国投</w:t>
            </w:r>
            <w:r>
              <w:rPr>
                <w:b/>
                <w:sz w:val="24"/>
                <w:szCs w:val="21"/>
              </w:rPr>
              <w:t>孚宝洋浦罐区码头有限公司</w:t>
            </w:r>
          </w:p>
        </w:tc>
      </w:tr>
      <w:tr>
        <w:tblPrEx>
          <w:tblCellMar>
            <w:top w:w="0" w:type="dxa"/>
            <w:left w:w="108" w:type="dxa"/>
            <w:bottom w:w="0" w:type="dxa"/>
            <w:right w:w="108" w:type="dxa"/>
          </w:tblCellMar>
        </w:tblPrEx>
        <w:trPr>
          <w:trHeight w:val="581"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804"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顾惠</w:t>
            </w:r>
            <w:r>
              <w:rPr>
                <w:sz w:val="21"/>
                <w:szCs w:val="21"/>
              </w:rPr>
              <w:t>卷</w:t>
            </w:r>
            <w:r>
              <w:rPr>
                <w:rFonts w:hint="eastAsia"/>
                <w:sz w:val="21"/>
                <w:szCs w:val="21"/>
              </w:rPr>
              <w:t>：0898-</w:t>
            </w:r>
            <w:r>
              <w:rPr>
                <w:sz w:val="21"/>
                <w:szCs w:val="21"/>
              </w:rPr>
              <w:t>36982610</w:t>
            </w:r>
          </w:p>
        </w:tc>
        <w:tc>
          <w:tcPr>
            <w:tcW w:w="5245"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地址：洋浦经济开发区石化</w:t>
            </w:r>
            <w:r>
              <w:rPr>
                <w:sz w:val="21"/>
                <w:szCs w:val="21"/>
              </w:rPr>
              <w:t>功能区滨海大道园一路北侧</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804"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245"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804"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sz w:val="21"/>
                <w:szCs w:val="21"/>
              </w:rPr>
              <w:t>RY5382GXFPM180/T</w:t>
            </w:r>
            <w:r>
              <w:rPr>
                <w:rFonts w:hint="eastAsia"/>
                <w:sz w:val="21"/>
                <w:szCs w:val="21"/>
              </w:rPr>
              <w:t>型泡沫消防车（水、泡沐）</w:t>
            </w:r>
          </w:p>
        </w:tc>
        <w:tc>
          <w:tcPr>
            <w:tcW w:w="5245"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水11</w:t>
            </w:r>
            <w:r>
              <w:rPr>
                <w:sz w:val="21"/>
                <w:szCs w:val="21"/>
              </w:rPr>
              <w:t>5m，泡沫</w:t>
            </w:r>
            <w:r>
              <w:rPr>
                <w:rFonts w:hint="eastAsia"/>
                <w:sz w:val="21"/>
                <w:szCs w:val="21"/>
              </w:rPr>
              <w:t>1</w:t>
            </w:r>
            <w:r>
              <w:rPr>
                <w:sz w:val="21"/>
                <w:szCs w:val="21"/>
              </w:rPr>
              <w:t>10</w:t>
            </w:r>
            <w:r>
              <w:rPr>
                <w:rFonts w:hint="eastAsia"/>
                <w:sz w:val="21"/>
                <w:szCs w:val="21"/>
              </w:rPr>
              <w:t>米</w:t>
            </w:r>
          </w:p>
        </w:tc>
      </w:tr>
      <w:tr>
        <w:tblPrEx>
          <w:tblCellMar>
            <w:top w:w="0" w:type="dxa"/>
            <w:left w:w="108" w:type="dxa"/>
            <w:bottom w:w="0" w:type="dxa"/>
            <w:right w:w="108" w:type="dxa"/>
          </w:tblCellMar>
        </w:tblPrEx>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804" w:type="dxa"/>
            <w:tcBorders>
              <w:top w:val="nil"/>
              <w:left w:val="nil"/>
              <w:bottom w:val="single" w:color="auto" w:sz="18" w:space="0"/>
              <w:right w:val="single" w:color="auto" w:sz="4" w:space="0"/>
            </w:tcBorders>
            <w:vAlign w:val="center"/>
          </w:tcPr>
          <w:p>
            <w:pPr>
              <w:spacing w:line="240" w:lineRule="auto"/>
              <w:ind w:firstLine="0" w:firstLineChars="0"/>
              <w:rPr>
                <w:sz w:val="21"/>
                <w:szCs w:val="21"/>
              </w:rPr>
            </w:pPr>
            <w:r>
              <w:rPr>
                <w:sz w:val="21"/>
                <w:szCs w:val="21"/>
              </w:rPr>
              <w:t>SXT5303JXFLP32</w:t>
            </w:r>
            <w:r>
              <w:rPr>
                <w:rFonts w:hint="eastAsia"/>
                <w:sz w:val="21"/>
                <w:szCs w:val="21"/>
              </w:rPr>
              <w:t>型举高喷射消防车（水</w:t>
            </w:r>
            <w:r>
              <w:rPr>
                <w:sz w:val="21"/>
                <w:szCs w:val="21"/>
              </w:rPr>
              <w:t>、泡沫</w:t>
            </w:r>
            <w:r>
              <w:rPr>
                <w:rFonts w:hint="eastAsia"/>
                <w:sz w:val="21"/>
                <w:szCs w:val="21"/>
              </w:rPr>
              <w:t>）</w:t>
            </w:r>
          </w:p>
        </w:tc>
        <w:tc>
          <w:tcPr>
            <w:tcW w:w="5245" w:type="dxa"/>
            <w:tcBorders>
              <w:top w:val="nil"/>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水70</w:t>
            </w:r>
            <w:r>
              <w:rPr>
                <w:sz w:val="21"/>
                <w:szCs w:val="21"/>
              </w:rPr>
              <w:t>m，泡沫</w:t>
            </w:r>
            <w:r>
              <w:rPr>
                <w:rFonts w:hint="eastAsia"/>
                <w:sz w:val="21"/>
                <w:szCs w:val="21"/>
              </w:rPr>
              <w:t>60米</w:t>
            </w:r>
          </w:p>
        </w:tc>
      </w:tr>
    </w:tbl>
    <w:p/>
    <w:p>
      <w:pPr>
        <w:widowControl/>
        <w:autoSpaceDE/>
        <w:autoSpaceDN/>
        <w:spacing w:line="240" w:lineRule="auto"/>
        <w:ind w:firstLine="0" w:firstLineChars="0"/>
        <w:jc w:val="left"/>
      </w:pPr>
      <w:r>
        <w:br w:type="page"/>
      </w:r>
    </w:p>
    <w:tbl>
      <w:tblPr>
        <w:tblStyle w:val="31"/>
        <w:tblW w:w="13173" w:type="dxa"/>
        <w:tblInd w:w="118" w:type="dxa"/>
        <w:tblLayout w:type="fixed"/>
        <w:tblCellMar>
          <w:top w:w="0" w:type="dxa"/>
          <w:left w:w="108" w:type="dxa"/>
          <w:bottom w:w="0" w:type="dxa"/>
          <w:right w:w="108" w:type="dxa"/>
        </w:tblCellMar>
      </w:tblPr>
      <w:tblGrid>
        <w:gridCol w:w="1124"/>
        <w:gridCol w:w="6804"/>
        <w:gridCol w:w="5245"/>
      </w:tblGrid>
      <w:tr>
        <w:tblPrEx>
          <w:tblCellMar>
            <w:top w:w="0" w:type="dxa"/>
            <w:left w:w="108" w:type="dxa"/>
            <w:bottom w:w="0" w:type="dxa"/>
            <w:right w:w="108" w:type="dxa"/>
          </w:tblCellMar>
        </w:tblPrEx>
        <w:trPr>
          <w:trHeight w:val="315" w:hRule="atLeast"/>
        </w:trPr>
        <w:tc>
          <w:tcPr>
            <w:tcW w:w="13173"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4"/>
                <w:szCs w:val="21"/>
              </w:rPr>
            </w:pPr>
            <w:r>
              <w:rPr>
                <w:rFonts w:hint="eastAsia"/>
                <w:b/>
                <w:sz w:val="24"/>
                <w:szCs w:val="21"/>
              </w:rPr>
              <w:t>海南金海浆纸业有限公司</w:t>
            </w:r>
          </w:p>
        </w:tc>
      </w:tr>
      <w:tr>
        <w:tblPrEx>
          <w:tblCellMar>
            <w:top w:w="0" w:type="dxa"/>
            <w:left w:w="108" w:type="dxa"/>
            <w:bottom w:w="0" w:type="dxa"/>
            <w:right w:w="108" w:type="dxa"/>
          </w:tblCellMar>
        </w:tblPrEx>
        <w:trPr>
          <w:trHeight w:val="403" w:hRule="atLeast"/>
        </w:trPr>
        <w:tc>
          <w:tcPr>
            <w:tcW w:w="1124" w:type="dxa"/>
            <w:tcBorders>
              <w:top w:val="single" w:color="auto" w:sz="12"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804" w:type="dxa"/>
            <w:tcBorders>
              <w:top w:val="single" w:color="auto" w:sz="12"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杨长建：0898-28828873</w:t>
            </w:r>
          </w:p>
        </w:tc>
        <w:tc>
          <w:tcPr>
            <w:tcW w:w="5245" w:type="dxa"/>
            <w:tcBorders>
              <w:top w:val="single" w:color="auto" w:sz="12"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地址：海南省洋浦经济开发区D12区</w:t>
            </w:r>
          </w:p>
        </w:tc>
      </w:tr>
      <w:tr>
        <w:tblPrEx>
          <w:tblCellMar>
            <w:top w:w="0" w:type="dxa"/>
            <w:left w:w="108" w:type="dxa"/>
            <w:bottom w:w="0" w:type="dxa"/>
            <w:right w:w="108" w:type="dxa"/>
          </w:tblCellMar>
        </w:tblPrEx>
        <w:trPr>
          <w:trHeight w:val="486" w:hRule="atLeast"/>
        </w:trPr>
        <w:tc>
          <w:tcPr>
            <w:tcW w:w="13173"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金海专职消防队</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804"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245"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804" w:type="dxa"/>
            <w:tcBorders>
              <w:top w:val="nil"/>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BX5280GXFPM140 斯太尔泡沫车</w:t>
            </w:r>
          </w:p>
        </w:tc>
        <w:tc>
          <w:tcPr>
            <w:tcW w:w="5245" w:type="dxa"/>
            <w:tcBorders>
              <w:top w:val="nil"/>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55米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804" w:type="dxa"/>
            <w:tcBorders>
              <w:top w:val="nil"/>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TGS 33.360  MAN水罐车</w:t>
            </w:r>
          </w:p>
        </w:tc>
        <w:tc>
          <w:tcPr>
            <w:tcW w:w="5245" w:type="dxa"/>
            <w:tcBorders>
              <w:top w:val="nil"/>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80米</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804" w:type="dxa"/>
            <w:tcBorders>
              <w:top w:val="single" w:color="auto" w:sz="4" w:space="0"/>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TGS33.440   MAN水罐车</w:t>
            </w:r>
          </w:p>
        </w:tc>
        <w:tc>
          <w:tcPr>
            <w:tcW w:w="5245" w:type="dxa"/>
            <w:tcBorders>
              <w:top w:val="single" w:color="auto" w:sz="4" w:space="0"/>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80米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804" w:type="dxa"/>
            <w:tcBorders>
              <w:top w:val="nil"/>
              <w:left w:val="nil"/>
              <w:bottom w:val="single" w:color="auto" w:sz="4" w:space="0"/>
              <w:right w:val="single" w:color="auto" w:sz="4" w:space="0"/>
            </w:tcBorders>
          </w:tcPr>
          <w:p>
            <w:pPr>
              <w:spacing w:line="240" w:lineRule="auto"/>
              <w:ind w:firstLine="0" w:firstLineChars="0"/>
              <w:rPr>
                <w:sz w:val="21"/>
                <w:szCs w:val="21"/>
              </w:rPr>
            </w:pPr>
            <w:r>
              <w:rPr>
                <w:rFonts w:hint="eastAsia"/>
                <w:sz w:val="21"/>
                <w:szCs w:val="21"/>
              </w:rPr>
              <w:t>BX5280GXFPM140  斯太尔水罐车</w:t>
            </w:r>
          </w:p>
        </w:tc>
        <w:tc>
          <w:tcPr>
            <w:tcW w:w="5245" w:type="dxa"/>
            <w:tcBorders>
              <w:top w:val="nil"/>
              <w:left w:val="nil"/>
              <w:bottom w:val="single" w:color="auto" w:sz="4" w:space="0"/>
              <w:right w:val="single" w:color="auto" w:sz="18" w:space="0"/>
            </w:tcBorders>
          </w:tcPr>
          <w:p>
            <w:pPr>
              <w:spacing w:line="240" w:lineRule="auto"/>
              <w:ind w:firstLine="0" w:firstLineChars="0"/>
              <w:rPr>
                <w:sz w:val="21"/>
                <w:szCs w:val="21"/>
              </w:rPr>
            </w:pPr>
            <w:r>
              <w:rPr>
                <w:rFonts w:hint="eastAsia"/>
                <w:sz w:val="21"/>
                <w:szCs w:val="21"/>
              </w:rPr>
              <w:t>55米</w:t>
            </w:r>
          </w:p>
        </w:tc>
      </w:tr>
      <w:tr>
        <w:tblPrEx>
          <w:tblCellMar>
            <w:top w:w="0" w:type="dxa"/>
            <w:left w:w="108" w:type="dxa"/>
            <w:bottom w:w="0" w:type="dxa"/>
            <w:right w:w="108" w:type="dxa"/>
          </w:tblCellMar>
        </w:tblPrEx>
        <w:trPr>
          <w:trHeight w:val="330" w:hRule="atLeast"/>
        </w:trPr>
        <w:tc>
          <w:tcPr>
            <w:tcW w:w="1124" w:type="dxa"/>
            <w:tcBorders>
              <w:top w:val="nil"/>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804" w:type="dxa"/>
            <w:tcBorders>
              <w:top w:val="nil"/>
              <w:left w:val="nil"/>
              <w:bottom w:val="single" w:color="auto" w:sz="18" w:space="0"/>
              <w:right w:val="single" w:color="auto" w:sz="4" w:space="0"/>
            </w:tcBorders>
          </w:tcPr>
          <w:p>
            <w:pPr>
              <w:spacing w:line="240" w:lineRule="auto"/>
              <w:ind w:firstLine="0" w:firstLineChars="0"/>
              <w:rPr>
                <w:sz w:val="21"/>
                <w:szCs w:val="21"/>
              </w:rPr>
            </w:pPr>
            <w:r>
              <w:rPr>
                <w:rFonts w:hint="eastAsia"/>
                <w:sz w:val="21"/>
                <w:szCs w:val="21"/>
              </w:rPr>
              <w:t>EQ1092FJ 东风干粉车</w:t>
            </w:r>
          </w:p>
        </w:tc>
        <w:tc>
          <w:tcPr>
            <w:tcW w:w="5245" w:type="dxa"/>
            <w:tcBorders>
              <w:top w:val="nil"/>
              <w:left w:val="nil"/>
              <w:bottom w:val="single" w:color="auto" w:sz="18" w:space="0"/>
              <w:right w:val="single" w:color="auto" w:sz="18" w:space="0"/>
            </w:tcBorders>
          </w:tcPr>
          <w:p>
            <w:pPr>
              <w:spacing w:line="240" w:lineRule="auto"/>
              <w:ind w:firstLine="0" w:firstLineChars="0"/>
              <w:rPr>
                <w:sz w:val="21"/>
                <w:szCs w:val="21"/>
              </w:rPr>
            </w:pPr>
            <w:r>
              <w:rPr>
                <w:rFonts w:hint="eastAsia"/>
                <w:sz w:val="21"/>
                <w:szCs w:val="21"/>
              </w:rPr>
              <w:t>35米</w:t>
            </w:r>
          </w:p>
        </w:tc>
      </w:tr>
    </w:tbl>
    <w:p>
      <w:pPr>
        <w:spacing w:line="240" w:lineRule="exact"/>
        <w:ind w:firstLine="0" w:firstLineChars="0"/>
        <w:rPr>
          <w:sz w:val="2"/>
        </w:rPr>
      </w:pPr>
    </w:p>
    <w:p>
      <w:pPr>
        <w:spacing w:line="240" w:lineRule="exact"/>
        <w:ind w:firstLine="0" w:firstLineChars="0"/>
        <w:rPr>
          <w:sz w:val="2"/>
        </w:rPr>
      </w:pPr>
    </w:p>
    <w:tbl>
      <w:tblPr>
        <w:tblStyle w:val="31"/>
        <w:tblW w:w="0" w:type="auto"/>
        <w:tblInd w:w="118" w:type="dxa"/>
        <w:tblLayout w:type="fixed"/>
        <w:tblCellMar>
          <w:top w:w="0" w:type="dxa"/>
          <w:left w:w="108" w:type="dxa"/>
          <w:bottom w:w="0" w:type="dxa"/>
          <w:right w:w="108" w:type="dxa"/>
        </w:tblCellMar>
      </w:tblPr>
      <w:tblGrid>
        <w:gridCol w:w="1124"/>
        <w:gridCol w:w="6946"/>
        <w:gridCol w:w="5103"/>
      </w:tblGrid>
      <w:tr>
        <w:tblPrEx>
          <w:tblCellMar>
            <w:top w:w="0" w:type="dxa"/>
            <w:left w:w="108" w:type="dxa"/>
            <w:bottom w:w="0" w:type="dxa"/>
            <w:right w:w="108" w:type="dxa"/>
          </w:tblCellMar>
        </w:tblPrEx>
        <w:trPr>
          <w:trHeight w:val="315" w:hRule="atLeast"/>
        </w:trPr>
        <w:tc>
          <w:tcPr>
            <w:tcW w:w="13173" w:type="dxa"/>
            <w:gridSpan w:val="3"/>
            <w:tcBorders>
              <w:top w:val="single" w:color="auto" w:sz="18" w:space="0"/>
              <w:left w:val="single" w:color="auto" w:sz="18" w:space="0"/>
              <w:bottom w:val="single" w:color="auto" w:sz="12"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海洋石油富岛有限公司</w:t>
            </w:r>
          </w:p>
        </w:tc>
      </w:tr>
      <w:tr>
        <w:tblPrEx>
          <w:tblCellMar>
            <w:top w:w="0" w:type="dxa"/>
            <w:left w:w="108" w:type="dxa"/>
            <w:bottom w:w="0" w:type="dxa"/>
            <w:right w:w="108" w:type="dxa"/>
          </w:tblCellMar>
        </w:tblPrEx>
        <w:trPr>
          <w:trHeight w:val="315" w:hRule="atLeast"/>
        </w:trPr>
        <w:tc>
          <w:tcPr>
            <w:tcW w:w="1124" w:type="dxa"/>
            <w:tcBorders>
              <w:top w:val="single" w:color="auto" w:sz="12" w:space="0"/>
              <w:left w:val="single" w:color="auto" w:sz="18"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12" w:space="0"/>
              <w:left w:val="single" w:color="auto" w:sz="12" w:space="0"/>
              <w:bottom w:val="single" w:color="auto" w:sz="12" w:space="0"/>
              <w:right w:val="single" w:color="auto" w:sz="12" w:space="0"/>
            </w:tcBorders>
            <w:vAlign w:val="center"/>
          </w:tcPr>
          <w:p>
            <w:pPr>
              <w:spacing w:line="240" w:lineRule="auto"/>
              <w:ind w:firstLine="0" w:firstLineChars="0"/>
              <w:rPr>
                <w:sz w:val="21"/>
                <w:szCs w:val="21"/>
              </w:rPr>
            </w:pPr>
            <w:r>
              <w:rPr>
                <w:rFonts w:hint="eastAsia"/>
                <w:sz w:val="21"/>
                <w:szCs w:val="21"/>
              </w:rPr>
              <w:t>姚烨：0898-25691366</w:t>
            </w:r>
          </w:p>
        </w:tc>
        <w:tc>
          <w:tcPr>
            <w:tcW w:w="5103" w:type="dxa"/>
            <w:tcBorders>
              <w:top w:val="single" w:color="auto" w:sz="12" w:space="0"/>
              <w:left w:val="single" w:color="auto" w:sz="12" w:space="0"/>
              <w:bottom w:val="single" w:color="auto" w:sz="12" w:space="0"/>
              <w:right w:val="single" w:color="auto" w:sz="18" w:space="0"/>
            </w:tcBorders>
            <w:vAlign w:val="center"/>
          </w:tcPr>
          <w:p>
            <w:pPr>
              <w:spacing w:line="240" w:lineRule="auto"/>
              <w:ind w:firstLine="0" w:firstLineChars="0"/>
              <w:rPr>
                <w:sz w:val="21"/>
                <w:szCs w:val="21"/>
              </w:rPr>
            </w:pPr>
            <w:r>
              <w:rPr>
                <w:rFonts w:hint="eastAsia"/>
                <w:sz w:val="21"/>
                <w:szCs w:val="21"/>
              </w:rPr>
              <w:t>地址：海南省东方市珠江大街1号</w:t>
            </w:r>
          </w:p>
        </w:tc>
      </w:tr>
      <w:tr>
        <w:tblPrEx>
          <w:tblCellMar>
            <w:top w:w="0" w:type="dxa"/>
            <w:left w:w="108" w:type="dxa"/>
            <w:bottom w:w="0" w:type="dxa"/>
            <w:right w:w="108" w:type="dxa"/>
          </w:tblCellMar>
        </w:tblPrEx>
        <w:trPr>
          <w:trHeight w:val="315" w:hRule="atLeast"/>
        </w:trPr>
        <w:tc>
          <w:tcPr>
            <w:tcW w:w="13173" w:type="dxa"/>
            <w:gridSpan w:val="3"/>
            <w:tcBorders>
              <w:top w:val="single" w:color="auto" w:sz="12"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海洋石油富岛有限公司专职消防队</w:t>
            </w:r>
          </w:p>
        </w:tc>
      </w:tr>
      <w:tr>
        <w:tblPrEx>
          <w:tblCellMar>
            <w:top w:w="0" w:type="dxa"/>
            <w:left w:w="108" w:type="dxa"/>
            <w:bottom w:w="0" w:type="dxa"/>
            <w:right w:w="108" w:type="dxa"/>
          </w:tblCellMar>
        </w:tblPrEx>
        <w:trPr>
          <w:trHeight w:val="315" w:hRule="atLeast"/>
        </w:trPr>
        <w:tc>
          <w:tcPr>
            <w:tcW w:w="13173"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专职消防队员总数：42人</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nil"/>
              <w:left w:val="nil"/>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103" w:type="dxa"/>
            <w:tcBorders>
              <w:top w:val="nil"/>
              <w:left w:val="nil"/>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40米云梯消防车SXT5322JXFYT40（水、泡沐）</w:t>
            </w:r>
          </w:p>
        </w:tc>
        <w:tc>
          <w:tcPr>
            <w:tcW w:w="5103"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水：70/75m     泡沫：50/60m</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single" w:color="auto" w:sz="4" w:space="0"/>
              <w:bottom w:val="single" w:color="auto" w:sz="4" w:space="0"/>
            </w:tcBorders>
            <w:vAlign w:val="center"/>
          </w:tcPr>
          <w:p>
            <w:pPr>
              <w:spacing w:line="240" w:lineRule="auto"/>
              <w:ind w:firstLine="0" w:firstLineChars="0"/>
              <w:rPr>
                <w:sz w:val="21"/>
                <w:szCs w:val="21"/>
              </w:rPr>
            </w:pPr>
            <w:r>
              <w:rPr>
                <w:rFonts w:hint="eastAsia"/>
                <w:sz w:val="21"/>
                <w:szCs w:val="21"/>
              </w:rPr>
              <w:t>水罐泡沫消防车ZZ1192L4610（水、泡沐）</w:t>
            </w:r>
          </w:p>
        </w:tc>
        <w:tc>
          <w:tcPr>
            <w:tcW w:w="5103" w:type="dxa"/>
            <w:tcBorders>
              <w:top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水：70/75m     泡沫：50/60m</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水罐、泡沫干粉联用消防车BX5190GXFPM85（水、泡沐、干粉）</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水：65m        泡沫：60m      干粉：30m</w:t>
            </w:r>
          </w:p>
        </w:tc>
      </w:tr>
      <w:tr>
        <w:tblPrEx>
          <w:tblCellMar>
            <w:top w:w="0" w:type="dxa"/>
            <w:left w:w="108" w:type="dxa"/>
            <w:bottom w:w="0" w:type="dxa"/>
            <w:right w:w="108" w:type="dxa"/>
          </w:tblCellMar>
        </w:tblPrEx>
        <w:trPr>
          <w:trHeight w:val="315" w:hRule="atLeast"/>
        </w:trPr>
        <w:tc>
          <w:tcPr>
            <w:tcW w:w="1124" w:type="dxa"/>
            <w:tcBorders>
              <w:top w:val="nil"/>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nil"/>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30米举高喷消防车ND1250M302N（水、泡沐）</w:t>
            </w:r>
          </w:p>
        </w:tc>
        <w:tc>
          <w:tcPr>
            <w:tcW w:w="5103" w:type="dxa"/>
            <w:tcBorders>
              <w:top w:val="nil"/>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水：70m        泡沫：50/60m</w:t>
            </w:r>
          </w:p>
        </w:tc>
      </w:tr>
      <w:tr>
        <w:tblPrEx>
          <w:tblCellMar>
            <w:top w:w="0" w:type="dxa"/>
            <w:left w:w="108" w:type="dxa"/>
            <w:bottom w:w="0" w:type="dxa"/>
            <w:right w:w="108" w:type="dxa"/>
          </w:tblCellMar>
        </w:tblPrEx>
        <w:trPr>
          <w:trHeight w:val="330"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single" w:color="auto" w:sz="4" w:space="0"/>
              <w:left w:val="nil"/>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大功率水罐泡沫消防车SJD5372GXFPM180/MEA（水、泡沐）</w:t>
            </w:r>
          </w:p>
        </w:tc>
        <w:tc>
          <w:tcPr>
            <w:tcW w:w="5103" w:type="dxa"/>
            <w:tcBorders>
              <w:top w:val="single" w:color="auto" w:sz="4" w:space="0"/>
              <w:left w:val="nil"/>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水：120m       泡沫：110m</w:t>
            </w:r>
          </w:p>
        </w:tc>
      </w:tr>
      <w:tr>
        <w:tblPrEx>
          <w:tblCellMar>
            <w:top w:w="0" w:type="dxa"/>
            <w:left w:w="108" w:type="dxa"/>
            <w:bottom w:w="0" w:type="dxa"/>
            <w:right w:w="108" w:type="dxa"/>
          </w:tblCellMar>
        </w:tblPrEx>
        <w:trPr>
          <w:trHeight w:val="330" w:hRule="atLeast"/>
        </w:trPr>
        <w:tc>
          <w:tcPr>
            <w:tcW w:w="1124" w:type="dxa"/>
            <w:tcBorders>
              <w:top w:val="single" w:color="auto" w:sz="4" w:space="0"/>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6</w:t>
            </w:r>
          </w:p>
        </w:tc>
        <w:tc>
          <w:tcPr>
            <w:tcW w:w="6946" w:type="dxa"/>
            <w:tcBorders>
              <w:top w:val="single" w:color="auto" w:sz="4" w:space="0"/>
              <w:left w:val="nil"/>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62米</w:t>
            </w:r>
            <w:r>
              <w:rPr>
                <w:sz w:val="21"/>
                <w:szCs w:val="21"/>
              </w:rPr>
              <w:t>举高</w:t>
            </w:r>
            <w:r>
              <w:rPr>
                <w:rFonts w:hint="eastAsia"/>
                <w:sz w:val="21"/>
                <w:szCs w:val="21"/>
              </w:rPr>
              <w:t>喷消防</w:t>
            </w:r>
            <w:r>
              <w:rPr>
                <w:sz w:val="21"/>
                <w:szCs w:val="21"/>
              </w:rPr>
              <w:t>车</w:t>
            </w:r>
            <w:r>
              <w:rPr>
                <w:rFonts w:hint="eastAsia"/>
                <w:sz w:val="21"/>
                <w:szCs w:val="21"/>
              </w:rPr>
              <w:t xml:space="preserve"> </w:t>
            </w:r>
            <w:r>
              <w:rPr>
                <w:sz w:val="21"/>
                <w:szCs w:val="21"/>
              </w:rPr>
              <w:t xml:space="preserve">FM540 84R B </w:t>
            </w:r>
            <w:r>
              <w:rPr>
                <w:rFonts w:hint="eastAsia"/>
                <w:sz w:val="21"/>
                <w:szCs w:val="21"/>
              </w:rPr>
              <w:t>（</w:t>
            </w:r>
            <w:r>
              <w:rPr>
                <w:sz w:val="21"/>
                <w:szCs w:val="21"/>
              </w:rPr>
              <w:t>水、泡沫）</w:t>
            </w:r>
          </w:p>
        </w:tc>
        <w:tc>
          <w:tcPr>
            <w:tcW w:w="5103" w:type="dxa"/>
            <w:tcBorders>
              <w:top w:val="single" w:color="auto" w:sz="4" w:space="0"/>
              <w:left w:val="nil"/>
              <w:bottom w:val="single" w:color="auto" w:sz="18" w:space="0"/>
              <w:right w:val="single" w:color="auto" w:sz="18" w:space="0"/>
            </w:tcBorders>
            <w:vAlign w:val="center"/>
          </w:tcPr>
          <w:p>
            <w:pPr>
              <w:spacing w:line="240" w:lineRule="auto"/>
              <w:ind w:firstLine="0" w:firstLineChars="0"/>
              <w:rPr>
                <w:sz w:val="21"/>
                <w:szCs w:val="21"/>
              </w:rPr>
            </w:pPr>
            <w:r>
              <w:rPr>
                <w:rFonts w:hint="eastAsia"/>
                <w:sz w:val="21"/>
                <w:szCs w:val="21"/>
              </w:rPr>
              <w:t>水</w:t>
            </w:r>
            <w:r>
              <w:rPr>
                <w:sz w:val="21"/>
                <w:szCs w:val="21"/>
              </w:rPr>
              <w:t>：</w:t>
            </w:r>
            <w:r>
              <w:rPr>
                <w:rFonts w:hint="eastAsia"/>
                <w:sz w:val="21"/>
                <w:szCs w:val="21"/>
              </w:rPr>
              <w:t>65m</w:t>
            </w:r>
            <w:r>
              <w:rPr>
                <w:sz w:val="21"/>
                <w:szCs w:val="21"/>
              </w:rPr>
              <w:t xml:space="preserve">     </w:t>
            </w:r>
            <w:r>
              <w:rPr>
                <w:rFonts w:hint="eastAsia"/>
                <w:sz w:val="21"/>
                <w:szCs w:val="21"/>
              </w:rPr>
              <w:t>泡沫</w:t>
            </w:r>
            <w:r>
              <w:rPr>
                <w:sz w:val="21"/>
                <w:szCs w:val="21"/>
              </w:rPr>
              <w:t>：</w:t>
            </w:r>
            <w:r>
              <w:rPr>
                <w:rFonts w:hint="eastAsia"/>
                <w:sz w:val="21"/>
                <w:szCs w:val="21"/>
              </w:rPr>
              <w:t>60</w:t>
            </w:r>
            <w:r>
              <w:rPr>
                <w:sz w:val="21"/>
                <w:szCs w:val="21"/>
              </w:rPr>
              <w:t>m</w:t>
            </w:r>
          </w:p>
        </w:tc>
      </w:tr>
    </w:tbl>
    <w:p>
      <w:pPr>
        <w:widowControl/>
        <w:autoSpaceDE/>
        <w:autoSpaceDN/>
        <w:spacing w:line="240" w:lineRule="auto"/>
        <w:ind w:firstLine="0" w:firstLineChars="0"/>
        <w:jc w:val="left"/>
      </w:pPr>
    </w:p>
    <w:tbl>
      <w:tblPr>
        <w:tblStyle w:val="31"/>
        <w:tblW w:w="0" w:type="auto"/>
        <w:tblInd w:w="118" w:type="dxa"/>
        <w:tblLayout w:type="fixed"/>
        <w:tblCellMar>
          <w:top w:w="0" w:type="dxa"/>
          <w:left w:w="108" w:type="dxa"/>
          <w:bottom w:w="0" w:type="dxa"/>
          <w:right w:w="108" w:type="dxa"/>
        </w:tblCellMar>
      </w:tblPr>
      <w:tblGrid>
        <w:gridCol w:w="1124"/>
        <w:gridCol w:w="6946"/>
        <w:gridCol w:w="5103"/>
      </w:tblGrid>
      <w:tr>
        <w:tblPrEx>
          <w:tblCellMar>
            <w:top w:w="0" w:type="dxa"/>
            <w:left w:w="108" w:type="dxa"/>
            <w:bottom w:w="0" w:type="dxa"/>
            <w:right w:w="108" w:type="dxa"/>
          </w:tblCellMar>
        </w:tblPrEx>
        <w:trPr>
          <w:trHeight w:val="315" w:hRule="atLeast"/>
        </w:trPr>
        <w:tc>
          <w:tcPr>
            <w:tcW w:w="13173" w:type="dxa"/>
            <w:gridSpan w:val="3"/>
            <w:tcBorders>
              <w:top w:val="single" w:color="auto" w:sz="18" w:space="0"/>
              <w:left w:val="single" w:color="auto" w:sz="18" w:space="0"/>
              <w:bottom w:val="single" w:color="auto" w:sz="4" w:space="0"/>
              <w:right w:val="single" w:color="auto" w:sz="18" w:space="0"/>
            </w:tcBorders>
            <w:vAlign w:val="center"/>
          </w:tcPr>
          <w:p>
            <w:pPr>
              <w:spacing w:line="240" w:lineRule="auto"/>
              <w:ind w:firstLine="0" w:firstLineChars="0"/>
              <w:jc w:val="center"/>
              <w:rPr>
                <w:b/>
                <w:sz w:val="21"/>
                <w:szCs w:val="21"/>
              </w:rPr>
            </w:pPr>
            <w:r>
              <w:rPr>
                <w:rFonts w:hint="eastAsia"/>
                <w:b/>
                <w:sz w:val="24"/>
                <w:szCs w:val="21"/>
              </w:rPr>
              <w:t>中海油东方石化有限责任公司</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负责人</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sz w:val="21"/>
                <w:szCs w:val="21"/>
              </w:rPr>
              <w:t>吴丹雄</w:t>
            </w:r>
            <w:r>
              <w:rPr>
                <w:rFonts w:hint="eastAsia"/>
                <w:sz w:val="21"/>
                <w:szCs w:val="21"/>
              </w:rPr>
              <w:t>：0898-2558</w:t>
            </w:r>
            <w:r>
              <w:rPr>
                <w:sz w:val="21"/>
                <w:szCs w:val="21"/>
              </w:rPr>
              <w:t>8895</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地址：海南省东方市疏港大道1号</w:t>
            </w:r>
          </w:p>
        </w:tc>
      </w:tr>
      <w:tr>
        <w:tblPrEx>
          <w:tblCellMar>
            <w:top w:w="0" w:type="dxa"/>
            <w:left w:w="108" w:type="dxa"/>
            <w:bottom w:w="0" w:type="dxa"/>
            <w:right w:w="108" w:type="dxa"/>
          </w:tblCellMar>
        </w:tblPrEx>
        <w:trPr>
          <w:trHeight w:val="315" w:hRule="atLeast"/>
        </w:trPr>
        <w:tc>
          <w:tcPr>
            <w:tcW w:w="13173"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中海油东方石化消防队</w:t>
            </w:r>
          </w:p>
        </w:tc>
      </w:tr>
      <w:tr>
        <w:tblPrEx>
          <w:tblCellMar>
            <w:top w:w="0" w:type="dxa"/>
            <w:left w:w="108" w:type="dxa"/>
            <w:bottom w:w="0" w:type="dxa"/>
            <w:right w:w="108" w:type="dxa"/>
          </w:tblCellMar>
        </w:tblPrEx>
        <w:trPr>
          <w:trHeight w:val="315" w:hRule="atLeast"/>
        </w:trPr>
        <w:tc>
          <w:tcPr>
            <w:tcW w:w="13173" w:type="dxa"/>
            <w:gridSpan w:val="3"/>
            <w:tcBorders>
              <w:top w:val="single" w:color="auto" w:sz="4" w:space="0"/>
              <w:left w:val="single" w:color="auto" w:sz="18"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专职消防队员总数：4</w:t>
            </w:r>
            <w:r>
              <w:rPr>
                <w:sz w:val="21"/>
                <w:szCs w:val="21"/>
              </w:rPr>
              <w:t>5</w:t>
            </w:r>
            <w:r>
              <w:rPr>
                <w:rFonts w:hint="eastAsia"/>
                <w:sz w:val="21"/>
                <w:szCs w:val="21"/>
              </w:rPr>
              <w:t>人</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序号</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型号</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jc w:val="center"/>
              <w:rPr>
                <w:sz w:val="21"/>
                <w:szCs w:val="21"/>
              </w:rPr>
            </w:pPr>
            <w:r>
              <w:rPr>
                <w:rFonts w:hint="eastAsia"/>
                <w:sz w:val="21"/>
                <w:szCs w:val="21"/>
              </w:rPr>
              <w:t>射程/米</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1</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泡沫车</w:t>
            </w:r>
            <w:r>
              <w:rPr>
                <w:sz w:val="21"/>
                <w:szCs w:val="21"/>
              </w:rPr>
              <w:t>SZX5190GXF PM80</w:t>
            </w:r>
            <w:r>
              <w:rPr>
                <w:rFonts w:hint="eastAsia"/>
                <w:sz w:val="21"/>
                <w:szCs w:val="21"/>
              </w:rPr>
              <w:t>（水、泡沐）</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100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2</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高喷车</w:t>
            </w:r>
            <w:r>
              <w:rPr>
                <w:sz w:val="21"/>
                <w:szCs w:val="21"/>
              </w:rPr>
              <w:t>HXF5090G XFG35</w:t>
            </w:r>
            <w:r>
              <w:rPr>
                <w:rFonts w:hint="eastAsia"/>
                <w:sz w:val="21"/>
                <w:szCs w:val="21"/>
              </w:rPr>
              <w:t>（水、泡沐）</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70</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3</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云梯车</w:t>
            </w:r>
            <w:r>
              <w:rPr>
                <w:sz w:val="21"/>
                <w:szCs w:val="21"/>
              </w:rPr>
              <w:t>EQ1092F</w:t>
            </w:r>
            <w:r>
              <w:rPr>
                <w:rFonts w:hint="eastAsia"/>
                <w:sz w:val="21"/>
                <w:szCs w:val="21"/>
              </w:rPr>
              <w:t>（水、泡沐）</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75</w:t>
            </w:r>
          </w:p>
        </w:tc>
      </w:tr>
      <w:tr>
        <w:tblPrEx>
          <w:tblCellMar>
            <w:top w:w="0" w:type="dxa"/>
            <w:left w:w="108" w:type="dxa"/>
            <w:bottom w:w="0" w:type="dxa"/>
            <w:right w:w="108" w:type="dxa"/>
          </w:tblCellMar>
        </w:tblPrEx>
        <w:trPr>
          <w:trHeight w:val="315" w:hRule="atLeast"/>
        </w:trPr>
        <w:tc>
          <w:tcPr>
            <w:tcW w:w="1124" w:type="dxa"/>
            <w:tcBorders>
              <w:top w:val="single" w:color="auto" w:sz="4" w:space="0"/>
              <w:left w:val="single" w:color="auto" w:sz="18" w:space="0"/>
              <w:bottom w:val="single" w:color="auto" w:sz="4" w:space="0"/>
              <w:right w:val="single" w:color="auto" w:sz="4" w:space="0"/>
            </w:tcBorders>
            <w:vAlign w:val="center"/>
          </w:tcPr>
          <w:p>
            <w:pPr>
              <w:spacing w:line="240" w:lineRule="auto"/>
              <w:ind w:firstLine="0" w:firstLineChars="0"/>
              <w:jc w:val="center"/>
              <w:rPr>
                <w:sz w:val="21"/>
                <w:szCs w:val="21"/>
              </w:rPr>
            </w:pPr>
            <w:r>
              <w:rPr>
                <w:rFonts w:hint="eastAsia"/>
                <w:sz w:val="21"/>
                <w:szCs w:val="21"/>
              </w:rPr>
              <w:t>4</w:t>
            </w:r>
          </w:p>
        </w:tc>
        <w:tc>
          <w:tcPr>
            <w:tcW w:w="6946"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sz w:val="21"/>
                <w:szCs w:val="21"/>
              </w:rPr>
            </w:pPr>
            <w:r>
              <w:rPr>
                <w:rFonts w:hint="eastAsia"/>
                <w:sz w:val="21"/>
                <w:szCs w:val="21"/>
              </w:rPr>
              <w:t>联用车</w:t>
            </w:r>
            <w:r>
              <w:rPr>
                <w:sz w:val="21"/>
                <w:szCs w:val="21"/>
              </w:rPr>
              <w:t>ND1250M3 02N--*20050031*</w:t>
            </w:r>
            <w:r>
              <w:rPr>
                <w:rFonts w:hint="eastAsia"/>
                <w:sz w:val="21"/>
                <w:szCs w:val="21"/>
              </w:rPr>
              <w:t>（水、泡沐、干粉）</w:t>
            </w:r>
          </w:p>
        </w:tc>
        <w:tc>
          <w:tcPr>
            <w:tcW w:w="5103" w:type="dxa"/>
            <w:tcBorders>
              <w:top w:val="single" w:color="auto" w:sz="4" w:space="0"/>
              <w:left w:val="single" w:color="auto" w:sz="4" w:space="0"/>
              <w:bottom w:val="single" w:color="auto" w:sz="4" w:space="0"/>
              <w:right w:val="single" w:color="auto" w:sz="18" w:space="0"/>
            </w:tcBorders>
            <w:vAlign w:val="center"/>
          </w:tcPr>
          <w:p>
            <w:pPr>
              <w:spacing w:line="240" w:lineRule="auto"/>
              <w:ind w:firstLine="0" w:firstLineChars="0"/>
              <w:rPr>
                <w:sz w:val="21"/>
                <w:szCs w:val="21"/>
              </w:rPr>
            </w:pPr>
            <w:r>
              <w:rPr>
                <w:rFonts w:hint="eastAsia"/>
                <w:sz w:val="21"/>
                <w:szCs w:val="21"/>
              </w:rPr>
              <w:t>75</w:t>
            </w:r>
          </w:p>
        </w:tc>
      </w:tr>
      <w:tr>
        <w:tblPrEx>
          <w:tblCellMar>
            <w:top w:w="0" w:type="dxa"/>
            <w:left w:w="108" w:type="dxa"/>
            <w:bottom w:w="0" w:type="dxa"/>
            <w:right w:w="108" w:type="dxa"/>
          </w:tblCellMar>
        </w:tblPrEx>
        <w:trPr>
          <w:trHeight w:val="330" w:hRule="atLeast"/>
        </w:trPr>
        <w:tc>
          <w:tcPr>
            <w:tcW w:w="1124" w:type="dxa"/>
            <w:tcBorders>
              <w:top w:val="single" w:color="auto" w:sz="4" w:space="0"/>
              <w:left w:val="single" w:color="auto" w:sz="18" w:space="0"/>
              <w:bottom w:val="single" w:color="auto" w:sz="18" w:space="0"/>
              <w:right w:val="single" w:color="auto" w:sz="4" w:space="0"/>
            </w:tcBorders>
            <w:vAlign w:val="center"/>
          </w:tcPr>
          <w:p>
            <w:pPr>
              <w:spacing w:line="240" w:lineRule="auto"/>
              <w:ind w:firstLine="0" w:firstLineChars="0"/>
              <w:jc w:val="center"/>
              <w:rPr>
                <w:sz w:val="21"/>
                <w:szCs w:val="21"/>
              </w:rPr>
            </w:pPr>
            <w:r>
              <w:rPr>
                <w:rFonts w:hint="eastAsia"/>
                <w:sz w:val="21"/>
                <w:szCs w:val="21"/>
              </w:rPr>
              <w:t>5</w:t>
            </w:r>
          </w:p>
        </w:tc>
        <w:tc>
          <w:tcPr>
            <w:tcW w:w="6946" w:type="dxa"/>
            <w:tcBorders>
              <w:top w:val="single" w:color="auto" w:sz="4" w:space="0"/>
              <w:left w:val="single" w:color="auto" w:sz="4" w:space="0"/>
              <w:bottom w:val="single" w:color="auto" w:sz="18" w:space="0"/>
              <w:right w:val="single" w:color="auto" w:sz="4" w:space="0"/>
            </w:tcBorders>
            <w:vAlign w:val="center"/>
          </w:tcPr>
          <w:p>
            <w:pPr>
              <w:spacing w:line="240" w:lineRule="auto"/>
              <w:ind w:firstLine="0" w:firstLineChars="0"/>
              <w:rPr>
                <w:sz w:val="21"/>
                <w:szCs w:val="21"/>
              </w:rPr>
            </w:pPr>
            <w:r>
              <w:rPr>
                <w:rFonts w:hint="eastAsia"/>
                <w:sz w:val="21"/>
                <w:szCs w:val="21"/>
              </w:rPr>
              <w:t>应急车</w:t>
            </w:r>
            <w:r>
              <w:rPr>
                <w:sz w:val="21"/>
                <w:szCs w:val="21"/>
              </w:rPr>
              <w:t>BX5190GX FPM85</w:t>
            </w:r>
          </w:p>
        </w:tc>
        <w:tc>
          <w:tcPr>
            <w:tcW w:w="5103" w:type="dxa"/>
            <w:tcBorders>
              <w:top w:val="single" w:color="auto" w:sz="4" w:space="0"/>
              <w:left w:val="single" w:color="auto" w:sz="4" w:space="0"/>
              <w:bottom w:val="single" w:color="auto" w:sz="18" w:space="0"/>
              <w:right w:val="single" w:color="auto" w:sz="18" w:space="0"/>
            </w:tcBorders>
            <w:vAlign w:val="center"/>
          </w:tcPr>
          <w:p>
            <w:pPr>
              <w:spacing w:line="240" w:lineRule="auto"/>
              <w:ind w:firstLine="0" w:firstLineChars="0"/>
              <w:rPr>
                <w:sz w:val="21"/>
                <w:szCs w:val="21"/>
              </w:rPr>
            </w:pPr>
          </w:p>
        </w:tc>
      </w:tr>
    </w:tbl>
    <w:p>
      <w:pPr>
        <w:sectPr>
          <w:pgSz w:w="16838" w:h="11906" w:orient="landscape"/>
          <w:pgMar w:top="2098" w:right="1797" w:bottom="1588" w:left="1797" w:header="851" w:footer="0" w:gutter="0"/>
          <w:pgNumType w:fmt="numberInDash"/>
          <w:cols w:space="425" w:num="1"/>
          <w:docGrid w:type="linesAndChars" w:linePitch="435" w:charSpace="0"/>
        </w:sectPr>
      </w:pPr>
    </w:p>
    <w:p>
      <w:pPr>
        <w:pStyle w:val="3"/>
      </w:pPr>
      <w:bookmarkStart w:id="132" w:name="_Toc88516229"/>
      <w:r>
        <w:rPr>
          <w:rFonts w:hint="eastAsia"/>
        </w:rPr>
        <w:t>9.</w:t>
      </w:r>
      <w:r>
        <w:t xml:space="preserve">4 </w:t>
      </w:r>
      <w:r>
        <w:rPr>
          <w:rFonts w:hint="eastAsia"/>
        </w:rPr>
        <w:t>危险化学品现场处置要点</w:t>
      </w:r>
      <w:bookmarkEnd w:id="132"/>
    </w:p>
    <w:p>
      <w:r>
        <w:rPr>
          <w:rFonts w:hint="eastAsia"/>
        </w:rPr>
        <w:t>根据危险化学品事故可能造成的后果，将危险化学品事故主要分为：火灾事故、爆炸事故、易燃、易爆或有毒物质泄漏事故。针对上述危险化学品事故的特点，其一般处置方案和处置方案要点分别如下：</w:t>
      </w:r>
    </w:p>
    <w:p>
      <w:pPr>
        <w:pStyle w:val="4"/>
      </w:pPr>
      <w:bookmarkStart w:id="133" w:name="_Toc88516230"/>
      <w:r>
        <w:rPr>
          <w:rFonts w:hint="eastAsia"/>
        </w:rPr>
        <w:t>9.</w:t>
      </w:r>
      <w:r>
        <w:t>4</w:t>
      </w:r>
      <w:r>
        <w:rPr>
          <w:rFonts w:hint="eastAsia"/>
        </w:rPr>
        <w:t>.1</w:t>
      </w:r>
      <w:r>
        <w:t xml:space="preserve"> 危险化学品事故一般处置方案</w:t>
      </w:r>
      <w:bookmarkEnd w:id="133"/>
    </w:p>
    <w:p>
      <w:r>
        <w:rPr>
          <w:rFonts w:hint="eastAsia"/>
        </w:rPr>
        <w:t>（1）</w:t>
      </w:r>
      <w:r>
        <w:t>接警</w:t>
      </w:r>
      <w:r>
        <w:rPr>
          <w:rFonts w:hint="eastAsia"/>
        </w:rPr>
        <w:t>。接警时应明确发生事故的单位名称、地址、危险化学品种类、事故简要情况、人员伤亡情况等。</w:t>
      </w:r>
    </w:p>
    <w:p>
      <w:r>
        <w:rPr>
          <w:rFonts w:hint="eastAsia"/>
        </w:rPr>
        <w:t>（2）</w:t>
      </w:r>
      <w:r>
        <w:t>隔离事故现场，建立警戒区</w:t>
      </w:r>
      <w:r>
        <w:rPr>
          <w:rFonts w:hint="eastAsia"/>
        </w:rPr>
        <w:t>。事故发生后，启动应急预案，根据化学品泄漏的扩散情况、火焰辐射热、爆炸所涉及到的范围建立警戒区，并在通往事故现场的主要干道上实行交通管控。</w:t>
      </w:r>
    </w:p>
    <w:p>
      <w:r>
        <w:rPr>
          <w:rFonts w:hint="eastAsia"/>
        </w:rPr>
        <w:t>（3）</w:t>
      </w:r>
      <w:r>
        <w:t>人员疏散</w:t>
      </w:r>
      <w:r>
        <w:rPr>
          <w:rFonts w:hint="eastAsia"/>
        </w:rPr>
        <w:t>。撤离所有可能受到威胁的人员从危险区域转移到安全区域。</w:t>
      </w:r>
    </w:p>
    <w:p>
      <w:r>
        <w:rPr>
          <w:rFonts w:hint="eastAsia"/>
        </w:rPr>
        <w:t>（4）</w:t>
      </w:r>
      <w:r>
        <w:t>现场控制</w:t>
      </w:r>
      <w:r>
        <w:rPr>
          <w:rFonts w:hint="eastAsia"/>
        </w:rPr>
        <w:t>。针对不同事故，开展现场控制工作。应急人员应根据事故特点和事故引发物质的不同，采取不同的防护措施。</w:t>
      </w:r>
    </w:p>
    <w:p>
      <w:pPr>
        <w:pStyle w:val="4"/>
      </w:pPr>
      <w:bookmarkStart w:id="134" w:name="_Toc88516231"/>
      <w:r>
        <w:rPr>
          <w:rFonts w:hint="eastAsia"/>
        </w:rPr>
        <w:t>9.</w:t>
      </w:r>
      <w:r>
        <w:t>4</w:t>
      </w:r>
      <w:r>
        <w:rPr>
          <w:rFonts w:hint="eastAsia"/>
        </w:rPr>
        <w:t>.2</w:t>
      </w:r>
      <w:r>
        <w:t xml:space="preserve"> 火灾事故处置方案要点</w:t>
      </w:r>
      <w:bookmarkEnd w:id="134"/>
    </w:p>
    <w:p>
      <w:r>
        <w:rPr>
          <w:rFonts w:hint="eastAsia"/>
        </w:rPr>
        <w:t>（</w:t>
      </w:r>
      <w:r>
        <w:t>1）</w:t>
      </w:r>
      <w:r>
        <w:tab/>
      </w:r>
      <w:r>
        <w:t>确定火灾发生位置；</w:t>
      </w:r>
    </w:p>
    <w:p>
      <w:r>
        <w:rPr>
          <w:rFonts w:hint="eastAsia"/>
        </w:rPr>
        <w:t>（</w:t>
      </w:r>
      <w:r>
        <w:t>2）</w:t>
      </w:r>
      <w:r>
        <w:tab/>
      </w:r>
      <w:r>
        <w:t>确定引起火灾的物质类别(压缩气体、液化气体、易燃液体、易燃物品、自燃物品等)；</w:t>
      </w:r>
    </w:p>
    <w:p>
      <w:r>
        <w:rPr>
          <w:rFonts w:hint="eastAsia"/>
        </w:rPr>
        <w:t>（</w:t>
      </w:r>
      <w:r>
        <w:t>3）</w:t>
      </w:r>
      <w:r>
        <w:tab/>
      </w:r>
      <w:r>
        <w:t>所需的火灾应急救援处置技术和专家；</w:t>
      </w:r>
    </w:p>
    <w:p>
      <w:r>
        <w:rPr>
          <w:rFonts w:hint="eastAsia"/>
        </w:rPr>
        <w:t>（</w:t>
      </w:r>
      <w:r>
        <w:t>4）</w:t>
      </w:r>
      <w:r>
        <w:tab/>
      </w:r>
      <w:r>
        <w:t>明确火灾发生区域的周围环境；</w:t>
      </w:r>
    </w:p>
    <w:p>
      <w:r>
        <w:rPr>
          <w:rFonts w:hint="eastAsia"/>
        </w:rPr>
        <w:t>（</w:t>
      </w:r>
      <w:r>
        <w:t>5）</w:t>
      </w:r>
      <w:r>
        <w:tab/>
      </w:r>
      <w:r>
        <w:t>明确周围区域存在的重大危险源分布情况；</w:t>
      </w:r>
    </w:p>
    <w:p>
      <w:r>
        <w:rPr>
          <w:rFonts w:hint="eastAsia"/>
        </w:rPr>
        <w:t>（</w:t>
      </w:r>
      <w:r>
        <w:t>6）</w:t>
      </w:r>
      <w:r>
        <w:tab/>
      </w:r>
      <w:r>
        <w:t>确定火灾扑救的基本方法；</w:t>
      </w:r>
    </w:p>
    <w:p>
      <w:r>
        <w:rPr>
          <w:rFonts w:hint="eastAsia"/>
        </w:rPr>
        <w:t>（</w:t>
      </w:r>
      <w:r>
        <w:t>7）</w:t>
      </w:r>
      <w:r>
        <w:tab/>
      </w:r>
      <w:r>
        <w:t>确定火灾可能导致的后果(含火灾与爆炸伴随发生的可能性)；</w:t>
      </w:r>
    </w:p>
    <w:p>
      <w:r>
        <w:rPr>
          <w:rFonts w:hint="eastAsia"/>
        </w:rPr>
        <w:t>（</w:t>
      </w:r>
      <w:r>
        <w:t>8）</w:t>
      </w:r>
      <w:r>
        <w:tab/>
      </w:r>
      <w:r>
        <w:t>确定火灾可能导致的后果对周围区域的可能影响规模和程度；</w:t>
      </w:r>
    </w:p>
    <w:p>
      <w:r>
        <w:rPr>
          <w:rFonts w:hint="eastAsia"/>
        </w:rPr>
        <w:t>（</w:t>
      </w:r>
      <w:r>
        <w:t>9）</w:t>
      </w:r>
      <w:r>
        <w:tab/>
      </w:r>
      <w:r>
        <w:t>火灾可能导致后果的主要控制措施(控制火灾蔓延、人员疏散、医疗救护等)；</w:t>
      </w:r>
    </w:p>
    <w:p>
      <w:r>
        <w:rPr>
          <w:rFonts w:hint="eastAsia"/>
        </w:rPr>
        <w:t>（</w:t>
      </w:r>
      <w:r>
        <w:t>10）</w:t>
      </w:r>
      <w:r>
        <w:tab/>
      </w:r>
      <w:r>
        <w:t>可能需要调动的应急救援力量(</w:t>
      </w:r>
      <w:r>
        <w:rPr>
          <w:rFonts w:hint="eastAsia"/>
        </w:rPr>
        <w:t>国家</w:t>
      </w:r>
      <w:r>
        <w:t>消防队伍、企业消防队伍等)。</w:t>
      </w:r>
    </w:p>
    <w:p>
      <w:pPr>
        <w:pStyle w:val="4"/>
      </w:pPr>
      <w:bookmarkStart w:id="135" w:name="_Toc88516232"/>
      <w:r>
        <w:rPr>
          <w:rFonts w:hint="eastAsia"/>
        </w:rPr>
        <w:t>9.</w:t>
      </w:r>
      <w:r>
        <w:t>4</w:t>
      </w:r>
      <w:r>
        <w:rPr>
          <w:rFonts w:hint="eastAsia"/>
        </w:rPr>
        <w:t>.3</w:t>
      </w:r>
      <w:r>
        <w:t xml:space="preserve"> 爆炸事故处置方案要点</w:t>
      </w:r>
      <w:bookmarkEnd w:id="135"/>
    </w:p>
    <w:p>
      <w:r>
        <w:rPr>
          <w:rFonts w:hint="eastAsia"/>
        </w:rPr>
        <w:t>（</w:t>
      </w:r>
      <w:r>
        <w:t>1）</w:t>
      </w:r>
      <w:r>
        <w:tab/>
      </w:r>
      <w:r>
        <w:t>确定爆炸地点；</w:t>
      </w:r>
    </w:p>
    <w:p>
      <w:r>
        <w:rPr>
          <w:rFonts w:hint="eastAsia"/>
        </w:rPr>
        <w:t>（</w:t>
      </w:r>
      <w:r>
        <w:t>2）</w:t>
      </w:r>
      <w:r>
        <w:tab/>
      </w:r>
      <w:r>
        <w:t>确定爆炸类型(物理爆炸、化学爆炸)；</w:t>
      </w:r>
    </w:p>
    <w:p>
      <w:r>
        <w:rPr>
          <w:rFonts w:hint="eastAsia"/>
        </w:rPr>
        <w:t>（</w:t>
      </w:r>
      <w:r>
        <w:t>3）</w:t>
      </w:r>
      <w:r>
        <w:tab/>
      </w:r>
      <w:r>
        <w:t>确定引起爆炸的物质类别(气体、液体、固体)；</w:t>
      </w:r>
    </w:p>
    <w:p>
      <w:r>
        <w:rPr>
          <w:rFonts w:hint="eastAsia"/>
        </w:rPr>
        <w:t>（</w:t>
      </w:r>
      <w:r>
        <w:t>4）</w:t>
      </w:r>
      <w:r>
        <w:tab/>
      </w:r>
      <w:r>
        <w:t>所需的爆炸应急救援处置技术和专家；</w:t>
      </w:r>
    </w:p>
    <w:p>
      <w:r>
        <w:rPr>
          <w:rFonts w:hint="eastAsia"/>
        </w:rPr>
        <w:t>（</w:t>
      </w:r>
      <w:r>
        <w:t>5）</w:t>
      </w:r>
      <w:r>
        <w:tab/>
      </w:r>
      <w:r>
        <w:t>明确爆炸地点的周围环境；</w:t>
      </w:r>
    </w:p>
    <w:p>
      <w:r>
        <w:rPr>
          <w:rFonts w:hint="eastAsia"/>
        </w:rPr>
        <w:t>（</w:t>
      </w:r>
      <w:r>
        <w:t>6）</w:t>
      </w:r>
      <w:r>
        <w:tab/>
      </w:r>
      <w:r>
        <w:t>明确周围区域存在的重大危险源分布情况；</w:t>
      </w:r>
    </w:p>
    <w:p>
      <w:r>
        <w:rPr>
          <w:rFonts w:hint="eastAsia"/>
        </w:rPr>
        <w:t>（</w:t>
      </w:r>
      <w:r>
        <w:t>7）</w:t>
      </w:r>
      <w:r>
        <w:tab/>
      </w:r>
      <w:r>
        <w:t>确定爆炸可能导致的后果(如火灾、二次爆炸等)；</w:t>
      </w:r>
    </w:p>
    <w:p>
      <w:r>
        <w:rPr>
          <w:rFonts w:hint="eastAsia"/>
        </w:rPr>
        <w:t>（</w:t>
      </w:r>
      <w:r>
        <w:t>8）</w:t>
      </w:r>
      <w:r>
        <w:tab/>
      </w:r>
      <w:r>
        <w:t>确定爆炸可能导致后果的主要控制措施(再次爆炸控制手段、工程抢险、人员疏散、医疗救护等)；</w:t>
      </w:r>
    </w:p>
    <w:p>
      <w:r>
        <w:rPr>
          <w:rFonts w:hint="eastAsia"/>
        </w:rPr>
        <w:t>（</w:t>
      </w:r>
      <w:r>
        <w:t>9）</w:t>
      </w:r>
      <w:r>
        <w:tab/>
      </w:r>
      <w:r>
        <w:t>可能需要调动的应急救援力量(国家消防队伍、企业消防队伍等)。</w:t>
      </w:r>
    </w:p>
    <w:p>
      <w:pPr>
        <w:pStyle w:val="4"/>
      </w:pPr>
      <w:bookmarkStart w:id="136" w:name="_Toc88516233"/>
      <w:r>
        <w:rPr>
          <w:rFonts w:hint="eastAsia"/>
        </w:rPr>
        <w:t>9.</w:t>
      </w:r>
      <w:r>
        <w:t>4</w:t>
      </w:r>
      <w:r>
        <w:rPr>
          <w:rFonts w:hint="eastAsia"/>
        </w:rPr>
        <w:t>.4</w:t>
      </w:r>
      <w:r>
        <w:t xml:space="preserve"> 易燃、易爆或有毒物质泄漏事故处置方案要点</w:t>
      </w:r>
      <w:bookmarkEnd w:id="136"/>
    </w:p>
    <w:p>
      <w:r>
        <w:rPr>
          <w:rFonts w:hint="eastAsia"/>
        </w:rPr>
        <w:t>（</w:t>
      </w:r>
      <w:r>
        <w:t>1）</w:t>
      </w:r>
      <w:r>
        <w:tab/>
      </w:r>
      <w:r>
        <w:t>确定泄漏源的位置；</w:t>
      </w:r>
    </w:p>
    <w:p>
      <w:r>
        <w:rPr>
          <w:rFonts w:hint="eastAsia"/>
        </w:rPr>
        <w:t>（</w:t>
      </w:r>
      <w:r>
        <w:t>2）</w:t>
      </w:r>
      <w:r>
        <w:tab/>
      </w:r>
      <w:r>
        <w:t>确定泄漏的化学品种类(易燃、易爆或有毒物质)；</w:t>
      </w:r>
    </w:p>
    <w:p>
      <w:r>
        <w:rPr>
          <w:rFonts w:hint="eastAsia"/>
        </w:rPr>
        <w:t>（</w:t>
      </w:r>
      <w:r>
        <w:t>3）</w:t>
      </w:r>
      <w:r>
        <w:tab/>
      </w:r>
      <w:r>
        <w:t>所需的泄漏应急救援处置技术和专家；</w:t>
      </w:r>
    </w:p>
    <w:p>
      <w:r>
        <w:rPr>
          <w:rFonts w:hint="eastAsia"/>
        </w:rPr>
        <w:t>（</w:t>
      </w:r>
      <w:r>
        <w:t>4）</w:t>
      </w:r>
      <w:r>
        <w:tab/>
      </w:r>
      <w:r>
        <w:t>确定泄漏源的周围环境(环境功能区、人口密度等)；</w:t>
      </w:r>
    </w:p>
    <w:p>
      <w:r>
        <w:rPr>
          <w:rFonts w:hint="eastAsia"/>
        </w:rPr>
        <w:t>（</w:t>
      </w:r>
      <w:r>
        <w:t>5）</w:t>
      </w:r>
      <w:r>
        <w:tab/>
      </w:r>
      <w:r>
        <w:t>确定是否已有泄漏物质进入大气、附近水源、下水道等场所；</w:t>
      </w:r>
    </w:p>
    <w:p>
      <w:r>
        <w:rPr>
          <w:rFonts w:hint="eastAsia"/>
        </w:rPr>
        <w:t>（</w:t>
      </w:r>
      <w:r>
        <w:t>6）</w:t>
      </w:r>
      <w:r>
        <w:tab/>
      </w:r>
      <w:r>
        <w:t>明确周围区域存在的重大危险源分布情况；</w:t>
      </w:r>
    </w:p>
    <w:p>
      <w:r>
        <w:rPr>
          <w:rFonts w:hint="eastAsia"/>
        </w:rPr>
        <w:t>（</w:t>
      </w:r>
      <w:r>
        <w:t>7）</w:t>
      </w:r>
      <w:r>
        <w:tab/>
      </w:r>
      <w:r>
        <w:t>确定泄漏时间或预计持续时间；</w:t>
      </w:r>
    </w:p>
    <w:p>
      <w:r>
        <w:rPr>
          <w:rFonts w:hint="eastAsia"/>
        </w:rPr>
        <w:t>（</w:t>
      </w:r>
      <w:r>
        <w:t>8）</w:t>
      </w:r>
      <w:r>
        <w:tab/>
      </w:r>
      <w:r>
        <w:t>实际或估算的泄漏量；</w:t>
      </w:r>
    </w:p>
    <w:p>
      <w:r>
        <w:rPr>
          <w:rFonts w:hint="eastAsia"/>
        </w:rPr>
        <w:t>（</w:t>
      </w:r>
      <w:r>
        <w:t>9）</w:t>
      </w:r>
      <w:r>
        <w:tab/>
      </w:r>
      <w:r>
        <w:t>气象信息；</w:t>
      </w:r>
    </w:p>
    <w:p>
      <w:r>
        <w:rPr>
          <w:rFonts w:hint="eastAsia"/>
        </w:rPr>
        <w:t>（</w:t>
      </w:r>
      <w:r>
        <w:t>10）</w:t>
      </w:r>
      <w:r>
        <w:tab/>
      </w:r>
      <w:r>
        <w:t>泄漏扩散趋势预测；</w:t>
      </w:r>
    </w:p>
    <w:p>
      <w:r>
        <w:rPr>
          <w:rFonts w:hint="eastAsia"/>
        </w:rPr>
        <w:t>（</w:t>
      </w:r>
      <w:r>
        <w:t>11）</w:t>
      </w:r>
      <w:r>
        <w:tab/>
      </w:r>
      <w:r>
        <w:t>明确泄漏可能导致的后果(泄漏是否可能引起火灾、 爆炸、中毒等后果)；</w:t>
      </w:r>
    </w:p>
    <w:p>
      <w:r>
        <w:rPr>
          <w:rFonts w:hint="eastAsia"/>
        </w:rPr>
        <w:t>（</w:t>
      </w:r>
      <w:r>
        <w:t>12）</w:t>
      </w:r>
      <w:r>
        <w:tab/>
      </w:r>
      <w:r>
        <w:t>明确泄漏危及周围环境的可能性；</w:t>
      </w:r>
    </w:p>
    <w:p>
      <w:r>
        <w:rPr>
          <w:rFonts w:hint="eastAsia"/>
        </w:rPr>
        <w:t>（</w:t>
      </w:r>
      <w:r>
        <w:t>13）</w:t>
      </w:r>
      <w:r>
        <w:tab/>
      </w:r>
      <w:r>
        <w:t>确定泄漏可能导致后果的主要控制措施(堵漏、工程抢险、人员疏散、医疗救护等)；</w:t>
      </w:r>
    </w:p>
    <w:p>
      <w:r>
        <w:rPr>
          <w:rFonts w:hint="eastAsia"/>
        </w:rPr>
        <w:t>（</w:t>
      </w:r>
      <w:r>
        <w:t>14）</w:t>
      </w:r>
      <w:r>
        <w:tab/>
      </w:r>
      <w:r>
        <w:t>可能需要调动的应急救援力量(消防特勤部队、企业救援队伍、防化兵部队等)。</w:t>
      </w:r>
    </w:p>
    <w:p>
      <w:pPr>
        <w:pStyle w:val="4"/>
      </w:pPr>
      <w:bookmarkStart w:id="137" w:name="_Toc88516234"/>
      <w:r>
        <w:rPr>
          <w:rFonts w:hint="eastAsia"/>
        </w:rPr>
        <w:t>9.</w:t>
      </w:r>
      <w:r>
        <w:t>4</w:t>
      </w:r>
      <w:r>
        <w:rPr>
          <w:rFonts w:hint="eastAsia"/>
        </w:rPr>
        <w:t>.5</w:t>
      </w:r>
      <w:r>
        <w:t xml:space="preserve"> </w:t>
      </w:r>
      <w:r>
        <w:rPr>
          <w:rFonts w:hint="eastAsia"/>
        </w:rPr>
        <w:t>现场人员安全防护</w:t>
      </w:r>
      <w:bookmarkEnd w:id="137"/>
    </w:p>
    <w:p>
      <w:r>
        <w:rPr>
          <w:rFonts w:hint="eastAsia"/>
        </w:rPr>
        <w:t>1</w:t>
      </w:r>
      <w:r>
        <w:t>.应急人员的安全防护</w:t>
      </w:r>
    </w:p>
    <w:p>
      <w:r>
        <w:rPr>
          <w:rFonts w:hint="eastAsia"/>
        </w:rPr>
        <w:t>根据危险化学品事故的特点及其引发物质的不同以及应急人员的职责，采取不同的防护措施：应急救援指挥人员、医务人员和其他不进入污染区域的应急人员一般配备过滤式防毒面罩、防护服、防毒手套、防毒靴等；工程抢险、消防和侦检等进入污染区域的应急人员应配备密闭型防毒面罩、防酸碱型防护服和空气呼吸器等；同时做好现场毒物的洗消工作</w:t>
      </w:r>
      <w:r>
        <w:t>(包括人员、设备、设施和场所等)。</w:t>
      </w:r>
    </w:p>
    <w:p>
      <w:r>
        <w:rPr>
          <w:rFonts w:hint="eastAsia"/>
        </w:rPr>
        <w:t>2</w:t>
      </w:r>
      <w:r>
        <w:t>.群众的安全防护</w:t>
      </w:r>
    </w:p>
    <w:p>
      <w:r>
        <w:rPr>
          <w:rFonts w:hint="eastAsia"/>
        </w:rPr>
        <w:t>根据不同危险化学品事故特点，组织和指导群众就地取材</w:t>
      </w:r>
      <w:r>
        <w:t>(如毛巾、湿布、口罩等)，采用简易有效的防护措施保护自己。根据实际情况，制定切实可行的疏散程序(包括疏散组织、指挥机构、疏散范围、疏散方式、疏散路线、疏散人员的照顾等)。组织群众撤离危险区域时，应选择安全的撤离路线，避免横穿危险区域。进入安全区域后，应尽快去除受污染的衣物，防止继发性伤害。</w:t>
      </w:r>
    </w:p>
    <w:p>
      <w:pPr>
        <w:pStyle w:val="4"/>
      </w:pPr>
      <w:bookmarkStart w:id="138" w:name="_Toc88516235"/>
      <w:r>
        <w:rPr>
          <w:rFonts w:hint="eastAsia"/>
        </w:rPr>
        <w:t>9.</w:t>
      </w:r>
      <w:r>
        <w:t>4</w:t>
      </w:r>
      <w:r>
        <w:rPr>
          <w:rFonts w:hint="eastAsia"/>
        </w:rPr>
        <w:t>.6</w:t>
      </w:r>
      <w:r>
        <w:t xml:space="preserve"> 事故分析、检测与后果评估</w:t>
      </w:r>
      <w:bookmarkEnd w:id="138"/>
    </w:p>
    <w:p>
      <w:pPr>
        <w:spacing w:line="660" w:lineRule="exact"/>
        <w:ind w:firstLine="0" w:firstLineChars="0"/>
        <w:jc w:val="left"/>
        <w:rPr>
          <w:rFonts w:hint="eastAsia" w:eastAsia="仿宋"/>
          <w:lang w:val="en-US" w:eastAsia="zh-CN"/>
        </w:rPr>
      </w:pPr>
      <w:r>
        <w:rPr>
          <w:rFonts w:hint="eastAsia"/>
          <w:lang w:val="en-US" w:eastAsia="zh-CN"/>
        </w:rPr>
        <w:t xml:space="preserve">    </w:t>
      </w:r>
      <w:r>
        <w:rPr>
          <w:rFonts w:hint="eastAsia"/>
        </w:rPr>
        <w:t>环境监测及化学品检测机构负责对水源、空气、土壤等样品就地实行分析处理，及时检测出毒物的种类和浓度，并计算出扩散范围等应急救援所需的各种数据，以确定污染区域范围，并对事故造成的环境影响进行评估。</w:t>
      </w:r>
    </w:p>
    <w:sectPr>
      <w:headerReference r:id="rId12" w:type="default"/>
      <w:footerReference r:id="rId13" w:type="default"/>
      <w:pgSz w:w="11906" w:h="16838"/>
      <w:pgMar w:top="1440" w:right="1800" w:bottom="1440" w:left="1800" w:header="851" w:footer="992" w:gutter="0"/>
      <w:pgNumType w:fmt="numberInDash"/>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Calibri Light">
    <w:altName w:val="Arial"/>
    <w:panose1 w:val="020F030202020403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A0000287" w:usb1="28CF3C52" w:usb2="00000016" w:usb3="00000000" w:csb0="0004001F" w:csb1="00000000"/>
  </w:font>
  <w:font w:name="microsoft yahei">
    <w:altName w:val="汉仪仿宋S"/>
    <w:panose1 w:val="00000000000000000000"/>
    <w:charset w:val="00"/>
    <w:family w:val="roman"/>
    <w:pitch w:val="default"/>
    <w:sig w:usb0="00000000" w:usb1="00000000" w:usb2="00000000" w:usb3="00000000" w:csb0="00000000" w:csb1="00000000"/>
  </w:font>
  <w:font w:name="Segoe UI Emoji">
    <w:altName w:val="Noto Sans"/>
    <w:panose1 w:val="020B0502040204020203"/>
    <w:charset w:val="00"/>
    <w:family w:val="swiss"/>
    <w:pitch w:val="default"/>
    <w:sig w:usb0="00000000" w:usb1="00000000" w:usb2="00000000" w:usb3="00000000" w:csb0="00000001" w:csb1="00000000"/>
  </w:font>
  <w:font w:name="DejaVu Sans">
    <w:panose1 w:val="020B0603030804020204"/>
    <w:charset w:val="00"/>
    <w:family w:val="auto"/>
    <w:pitch w:val="default"/>
    <w:sig w:usb0="E7006EFF" w:usb1="D200FDFF" w:usb2="0A246029" w:usb3="0400200C" w:csb0="600001FF" w:csb1="DFFF0000"/>
  </w:font>
  <w:font w:name="汉仪仿宋S">
    <w:panose1 w:val="00020600040101000101"/>
    <w:charset w:val="86"/>
    <w:family w:val="auto"/>
    <w:pitch w:val="default"/>
    <w:sig w:usb0="A00002BF" w:usb1="38CF7CFA" w:usb2="00000016" w:usb3="00000000" w:csb0="0004009F" w:csb1="00000000"/>
  </w:font>
  <w:font w:name="Noto Sans">
    <w:panose1 w:val="020B0502040504020204"/>
    <w:charset w:val="00"/>
    <w:family w:val="auto"/>
    <w:pitch w:val="default"/>
    <w:sig w:usb0="E00002FF" w:usb1="4000201F" w:usb2="08000029" w:usb3="00100000" w:csb0="0000019F"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20"/>
      <w:ind w:left="64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640" w:firstLine="560"/>
      <w:jc w:val="center"/>
      <w:rPr>
        <w:sz w:val="28"/>
        <w:szCs w:val="28"/>
      </w:rPr>
    </w:pPr>
    <w:r>
      <w:rPr>
        <w:sz w:val="2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0"/>
                  <w:ind w:left="640" w:firstLine="560"/>
                  <w:jc w:val="center"/>
                </w:pP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w:t>
                </w:r>
                <w:r>
                  <w:rPr>
                    <w:sz w:val="28"/>
                    <w:szCs w:val="28"/>
                  </w:rPr>
                  <w:t xml:space="preserve"> 11 -</w:t>
                </w:r>
                <w:r>
                  <w:rPr>
                    <w:sz w:val="28"/>
                    <w:szCs w:val="28"/>
                  </w:rPr>
                  <w:fldChar w:fldCharType="end"/>
                </w:r>
              </w:p>
            </w:txbxContent>
          </v:textbox>
        </v:shape>
      </w:pict>
    </w:r>
  </w:p>
  <w:p>
    <w:pPr>
      <w:pStyle w:val="20"/>
      <w:ind w:left="64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spacing w:line="240" w:lineRule="auto"/>
      <w:ind w:firstLine="360"/>
    </w:pPr>
    <w:r>
      <w:rPr>
        <w:sz w:val="18"/>
      </w:rPr>
      <w:pict>
        <v:shape id="_x0000_s4100" o:spid="_x0000_s4100"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20"/>
                </w:pPr>
                <w:r>
                  <w:rPr>
                    <w:sz w:val="24"/>
                    <w:szCs w:val="24"/>
                  </w:rPr>
                  <w:fldChar w:fldCharType="begin"/>
                </w:r>
                <w:r>
                  <w:rPr>
                    <w:sz w:val="24"/>
                    <w:szCs w:val="24"/>
                  </w:rPr>
                  <w:instrText xml:space="preserve"> PAGE  \* MERGEFORMAT </w:instrText>
                </w:r>
                <w:r>
                  <w:rPr>
                    <w:sz w:val="24"/>
                    <w:szCs w:val="24"/>
                  </w:rPr>
                  <w:fldChar w:fldCharType="separate"/>
                </w:r>
                <w:r>
                  <w:rPr>
                    <w:sz w:val="24"/>
                    <w:szCs w:val="24"/>
                  </w:rPr>
                  <w:t>40</w:t>
                </w:r>
                <w:r>
                  <w:rPr>
                    <w:sz w:val="24"/>
                    <w:szCs w:val="24"/>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ind w:left="0" w:leftChars="0"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uto"/>
      <w:ind w:firstLine="0" w:firstLineChars="0"/>
      <w:jc w:val="center"/>
      <w:rPr>
        <w:sz w:val="21"/>
        <w:szCs w:val="21"/>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ind w:firstLine="480"/>
      <w:jc w:val="right"/>
      <w:rPr>
        <w:rFonts w:ascii="宋体" w:hAnsi="宋体"/>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3A7715A"/>
    <w:multiLevelType w:val="multilevel"/>
    <w:tmpl w:val="23A7715A"/>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9ED1763"/>
    <w:multiLevelType w:val="multilevel"/>
    <w:tmpl w:val="29ED1763"/>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7F2558C"/>
    <w:multiLevelType w:val="multilevel"/>
    <w:tmpl w:val="47F2558C"/>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B9259B9"/>
    <w:multiLevelType w:val="multilevel"/>
    <w:tmpl w:val="4B9259B9"/>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2B65A62"/>
    <w:multiLevelType w:val="multilevel"/>
    <w:tmpl w:val="52B65A62"/>
    <w:lvl w:ilvl="0" w:tentative="0">
      <w:start w:val="1"/>
      <w:numFmt w:val="decimal"/>
      <w:lvlText w:val="（%1）"/>
      <w:lvlJc w:val="left"/>
      <w:pPr>
        <w:ind w:left="0" w:firstLine="64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635C0A1C"/>
    <w:multiLevelType w:val="multilevel"/>
    <w:tmpl w:val="635C0A1C"/>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674A4757"/>
    <w:multiLevelType w:val="multilevel"/>
    <w:tmpl w:val="674A4757"/>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6ED5308B"/>
    <w:multiLevelType w:val="multilevel"/>
    <w:tmpl w:val="6ED5308B"/>
    <w:lvl w:ilvl="0" w:tentative="0">
      <w:start w:val="1"/>
      <w:numFmt w:val="decimal"/>
      <w:suff w:val="space"/>
      <w:lvlText w:val="%1."/>
      <w:lvlJc w:val="left"/>
      <w:pPr>
        <w:ind w:left="0" w:firstLine="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3"/>
  </w:num>
  <w:num w:numId="3">
    <w:abstractNumId w:val="6"/>
  </w:num>
  <w:num w:numId="4">
    <w:abstractNumId w:val="2"/>
  </w:num>
  <w:num w:numId="5">
    <w:abstractNumId w:val="7"/>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true"/>
  <w:bordersDoNotSurroundFooter w:val="true"/>
  <w:hideSpellingErrors/>
  <w:doNotTrackMoves/>
  <w:trackRevisions w:val="true"/>
  <w:documentProtection w:enforcement="0"/>
  <w:defaultTabStop w:val="0"/>
  <w:drawingGridHorizontalSpacing w:val="160"/>
  <w:drawingGridVerticalSpacing w:val="435"/>
  <w:displayHorizontalDrawingGridEvery w:val="0"/>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6DE7"/>
    <w:rsid w:val="00001196"/>
    <w:rsid w:val="000033DA"/>
    <w:rsid w:val="00004A62"/>
    <w:rsid w:val="0000559C"/>
    <w:rsid w:val="0001068E"/>
    <w:rsid w:val="00012C71"/>
    <w:rsid w:val="000152B2"/>
    <w:rsid w:val="00016F6A"/>
    <w:rsid w:val="000201A9"/>
    <w:rsid w:val="0002148D"/>
    <w:rsid w:val="000218A5"/>
    <w:rsid w:val="00025940"/>
    <w:rsid w:val="00026698"/>
    <w:rsid w:val="00030121"/>
    <w:rsid w:val="000304EE"/>
    <w:rsid w:val="00037F0E"/>
    <w:rsid w:val="00040D5A"/>
    <w:rsid w:val="000437D9"/>
    <w:rsid w:val="00045CD1"/>
    <w:rsid w:val="000468AC"/>
    <w:rsid w:val="00047DFB"/>
    <w:rsid w:val="00051551"/>
    <w:rsid w:val="00060242"/>
    <w:rsid w:val="000608C2"/>
    <w:rsid w:val="0006380F"/>
    <w:rsid w:val="000638F6"/>
    <w:rsid w:val="00064835"/>
    <w:rsid w:val="00066EF9"/>
    <w:rsid w:val="00067AA9"/>
    <w:rsid w:val="000704CA"/>
    <w:rsid w:val="000709DA"/>
    <w:rsid w:val="00082A8E"/>
    <w:rsid w:val="000831F9"/>
    <w:rsid w:val="0008789C"/>
    <w:rsid w:val="00095B9A"/>
    <w:rsid w:val="00096EDD"/>
    <w:rsid w:val="000978A9"/>
    <w:rsid w:val="000978F0"/>
    <w:rsid w:val="000A19F1"/>
    <w:rsid w:val="000A616D"/>
    <w:rsid w:val="000B077D"/>
    <w:rsid w:val="000C001B"/>
    <w:rsid w:val="000C1EFD"/>
    <w:rsid w:val="000C62A4"/>
    <w:rsid w:val="000D22CB"/>
    <w:rsid w:val="000D6B91"/>
    <w:rsid w:val="000D76E2"/>
    <w:rsid w:val="000E12FA"/>
    <w:rsid w:val="000E1984"/>
    <w:rsid w:val="000E5DE3"/>
    <w:rsid w:val="000F0323"/>
    <w:rsid w:val="000F5378"/>
    <w:rsid w:val="000F6AEC"/>
    <w:rsid w:val="000F7F8F"/>
    <w:rsid w:val="001021BB"/>
    <w:rsid w:val="00105572"/>
    <w:rsid w:val="00105629"/>
    <w:rsid w:val="00106837"/>
    <w:rsid w:val="001124B0"/>
    <w:rsid w:val="00116CE5"/>
    <w:rsid w:val="00116D1F"/>
    <w:rsid w:val="0011788A"/>
    <w:rsid w:val="001213DF"/>
    <w:rsid w:val="00125223"/>
    <w:rsid w:val="001259EA"/>
    <w:rsid w:val="00126DE7"/>
    <w:rsid w:val="00135FB5"/>
    <w:rsid w:val="001419E9"/>
    <w:rsid w:val="0014416D"/>
    <w:rsid w:val="00145104"/>
    <w:rsid w:val="00147309"/>
    <w:rsid w:val="0015008E"/>
    <w:rsid w:val="0015221B"/>
    <w:rsid w:val="00154626"/>
    <w:rsid w:val="0015606E"/>
    <w:rsid w:val="00160F2A"/>
    <w:rsid w:val="001632D5"/>
    <w:rsid w:val="00167545"/>
    <w:rsid w:val="0017087B"/>
    <w:rsid w:val="00170FEE"/>
    <w:rsid w:val="0017425A"/>
    <w:rsid w:val="001809E2"/>
    <w:rsid w:val="00184737"/>
    <w:rsid w:val="00185C08"/>
    <w:rsid w:val="00191BD0"/>
    <w:rsid w:val="00192240"/>
    <w:rsid w:val="00193FD8"/>
    <w:rsid w:val="00195F60"/>
    <w:rsid w:val="00196CE7"/>
    <w:rsid w:val="001A19A9"/>
    <w:rsid w:val="001A1E86"/>
    <w:rsid w:val="001A1ECF"/>
    <w:rsid w:val="001A388C"/>
    <w:rsid w:val="001A448C"/>
    <w:rsid w:val="001B2ABD"/>
    <w:rsid w:val="001B38A7"/>
    <w:rsid w:val="001B412E"/>
    <w:rsid w:val="001B4834"/>
    <w:rsid w:val="001C16C7"/>
    <w:rsid w:val="001C20EF"/>
    <w:rsid w:val="001C2538"/>
    <w:rsid w:val="001C5890"/>
    <w:rsid w:val="001C5CC5"/>
    <w:rsid w:val="001D0A70"/>
    <w:rsid w:val="001D1BD4"/>
    <w:rsid w:val="001D3393"/>
    <w:rsid w:val="001D3FA4"/>
    <w:rsid w:val="001D5484"/>
    <w:rsid w:val="001E6304"/>
    <w:rsid w:val="001E6781"/>
    <w:rsid w:val="001F2B84"/>
    <w:rsid w:val="00203943"/>
    <w:rsid w:val="0020555F"/>
    <w:rsid w:val="00205D42"/>
    <w:rsid w:val="00211BE7"/>
    <w:rsid w:val="00222519"/>
    <w:rsid w:val="00222B59"/>
    <w:rsid w:val="00224770"/>
    <w:rsid w:val="00226EB6"/>
    <w:rsid w:val="00227570"/>
    <w:rsid w:val="002276FC"/>
    <w:rsid w:val="00233389"/>
    <w:rsid w:val="002337A8"/>
    <w:rsid w:val="00233D25"/>
    <w:rsid w:val="0024192A"/>
    <w:rsid w:val="0024512B"/>
    <w:rsid w:val="002475D3"/>
    <w:rsid w:val="00251087"/>
    <w:rsid w:val="00251CB4"/>
    <w:rsid w:val="00253291"/>
    <w:rsid w:val="002545B2"/>
    <w:rsid w:val="00256B7F"/>
    <w:rsid w:val="00257DBB"/>
    <w:rsid w:val="00264680"/>
    <w:rsid w:val="002674C2"/>
    <w:rsid w:val="00272EA7"/>
    <w:rsid w:val="00274484"/>
    <w:rsid w:val="00276F5E"/>
    <w:rsid w:val="00283513"/>
    <w:rsid w:val="0028423D"/>
    <w:rsid w:val="002850DE"/>
    <w:rsid w:val="002906F0"/>
    <w:rsid w:val="00291428"/>
    <w:rsid w:val="00293F23"/>
    <w:rsid w:val="00294C8E"/>
    <w:rsid w:val="002A22AE"/>
    <w:rsid w:val="002A49F2"/>
    <w:rsid w:val="002A782B"/>
    <w:rsid w:val="002B5F3C"/>
    <w:rsid w:val="002E455F"/>
    <w:rsid w:val="002E6EDB"/>
    <w:rsid w:val="002F1C14"/>
    <w:rsid w:val="002F3514"/>
    <w:rsid w:val="002F441C"/>
    <w:rsid w:val="002F7FA6"/>
    <w:rsid w:val="0030057E"/>
    <w:rsid w:val="003009D4"/>
    <w:rsid w:val="00303989"/>
    <w:rsid w:val="0030481D"/>
    <w:rsid w:val="00304885"/>
    <w:rsid w:val="003057FD"/>
    <w:rsid w:val="00307B06"/>
    <w:rsid w:val="00307E70"/>
    <w:rsid w:val="00310ADA"/>
    <w:rsid w:val="0031186B"/>
    <w:rsid w:val="00314B19"/>
    <w:rsid w:val="0031535D"/>
    <w:rsid w:val="00315B76"/>
    <w:rsid w:val="00316BF9"/>
    <w:rsid w:val="00320F2E"/>
    <w:rsid w:val="00321827"/>
    <w:rsid w:val="00321ED3"/>
    <w:rsid w:val="00323D59"/>
    <w:rsid w:val="003265A9"/>
    <w:rsid w:val="00330DE3"/>
    <w:rsid w:val="00331673"/>
    <w:rsid w:val="0033502F"/>
    <w:rsid w:val="00336A35"/>
    <w:rsid w:val="00336E3A"/>
    <w:rsid w:val="00337708"/>
    <w:rsid w:val="00342DCF"/>
    <w:rsid w:val="00345FBC"/>
    <w:rsid w:val="00347335"/>
    <w:rsid w:val="00351F10"/>
    <w:rsid w:val="00352753"/>
    <w:rsid w:val="0035500C"/>
    <w:rsid w:val="0035683F"/>
    <w:rsid w:val="003643F6"/>
    <w:rsid w:val="003669A7"/>
    <w:rsid w:val="00373B24"/>
    <w:rsid w:val="00377F1B"/>
    <w:rsid w:val="00380617"/>
    <w:rsid w:val="00391ECE"/>
    <w:rsid w:val="00397343"/>
    <w:rsid w:val="003A37F0"/>
    <w:rsid w:val="003A4D80"/>
    <w:rsid w:val="003A70D9"/>
    <w:rsid w:val="003A71AC"/>
    <w:rsid w:val="003A7946"/>
    <w:rsid w:val="003B0B43"/>
    <w:rsid w:val="003B3C85"/>
    <w:rsid w:val="003B7569"/>
    <w:rsid w:val="003C1043"/>
    <w:rsid w:val="003C1ED3"/>
    <w:rsid w:val="003C5E9E"/>
    <w:rsid w:val="003D1C38"/>
    <w:rsid w:val="003D346B"/>
    <w:rsid w:val="003D44AD"/>
    <w:rsid w:val="003D7A6B"/>
    <w:rsid w:val="003D7B36"/>
    <w:rsid w:val="003E09DE"/>
    <w:rsid w:val="003E0C82"/>
    <w:rsid w:val="003E34B0"/>
    <w:rsid w:val="003E386E"/>
    <w:rsid w:val="003E6999"/>
    <w:rsid w:val="003F34E7"/>
    <w:rsid w:val="003F3572"/>
    <w:rsid w:val="00401354"/>
    <w:rsid w:val="00401856"/>
    <w:rsid w:val="004060BA"/>
    <w:rsid w:val="00410A5F"/>
    <w:rsid w:val="0041229A"/>
    <w:rsid w:val="00416DC0"/>
    <w:rsid w:val="00420433"/>
    <w:rsid w:val="00420A02"/>
    <w:rsid w:val="00420FA7"/>
    <w:rsid w:val="00422479"/>
    <w:rsid w:val="004234EA"/>
    <w:rsid w:val="00424D27"/>
    <w:rsid w:val="004278BF"/>
    <w:rsid w:val="004305E6"/>
    <w:rsid w:val="00431C49"/>
    <w:rsid w:val="00436BEE"/>
    <w:rsid w:val="0043715D"/>
    <w:rsid w:val="0043771C"/>
    <w:rsid w:val="00445FC0"/>
    <w:rsid w:val="00447F72"/>
    <w:rsid w:val="00452CC0"/>
    <w:rsid w:val="004537A6"/>
    <w:rsid w:val="004546BE"/>
    <w:rsid w:val="00456D4A"/>
    <w:rsid w:val="00456EAE"/>
    <w:rsid w:val="00457B7D"/>
    <w:rsid w:val="00462D42"/>
    <w:rsid w:val="00465E26"/>
    <w:rsid w:val="004673A5"/>
    <w:rsid w:val="004762A1"/>
    <w:rsid w:val="0048012A"/>
    <w:rsid w:val="00483944"/>
    <w:rsid w:val="00484EBC"/>
    <w:rsid w:val="00485F3F"/>
    <w:rsid w:val="0048625C"/>
    <w:rsid w:val="00497CC2"/>
    <w:rsid w:val="004A1113"/>
    <w:rsid w:val="004A18AC"/>
    <w:rsid w:val="004A23F6"/>
    <w:rsid w:val="004A487B"/>
    <w:rsid w:val="004B086A"/>
    <w:rsid w:val="004B2113"/>
    <w:rsid w:val="004B51C4"/>
    <w:rsid w:val="004B675E"/>
    <w:rsid w:val="004C03C5"/>
    <w:rsid w:val="004C538E"/>
    <w:rsid w:val="004C58CD"/>
    <w:rsid w:val="004D1ABB"/>
    <w:rsid w:val="004D24B4"/>
    <w:rsid w:val="004D34D4"/>
    <w:rsid w:val="004D48CE"/>
    <w:rsid w:val="004D5A6B"/>
    <w:rsid w:val="004D737B"/>
    <w:rsid w:val="004E0051"/>
    <w:rsid w:val="004E0474"/>
    <w:rsid w:val="004E2A77"/>
    <w:rsid w:val="004E392F"/>
    <w:rsid w:val="004E6513"/>
    <w:rsid w:val="004E6AF2"/>
    <w:rsid w:val="004E754D"/>
    <w:rsid w:val="004E7740"/>
    <w:rsid w:val="004F1AED"/>
    <w:rsid w:val="004F2235"/>
    <w:rsid w:val="004F460B"/>
    <w:rsid w:val="004F4C6B"/>
    <w:rsid w:val="004F61AD"/>
    <w:rsid w:val="004F6CC3"/>
    <w:rsid w:val="004F713F"/>
    <w:rsid w:val="0050370D"/>
    <w:rsid w:val="00503F27"/>
    <w:rsid w:val="0050563F"/>
    <w:rsid w:val="0050748D"/>
    <w:rsid w:val="005078A5"/>
    <w:rsid w:val="00507C5F"/>
    <w:rsid w:val="00512C75"/>
    <w:rsid w:val="00514A84"/>
    <w:rsid w:val="00517181"/>
    <w:rsid w:val="005175A9"/>
    <w:rsid w:val="00520D4B"/>
    <w:rsid w:val="005223DF"/>
    <w:rsid w:val="00523DB9"/>
    <w:rsid w:val="005317EB"/>
    <w:rsid w:val="00532661"/>
    <w:rsid w:val="00532DA8"/>
    <w:rsid w:val="005331F2"/>
    <w:rsid w:val="00536B69"/>
    <w:rsid w:val="005405A8"/>
    <w:rsid w:val="00541751"/>
    <w:rsid w:val="00541FF9"/>
    <w:rsid w:val="00555904"/>
    <w:rsid w:val="00556D5C"/>
    <w:rsid w:val="005616CA"/>
    <w:rsid w:val="00564691"/>
    <w:rsid w:val="00567F11"/>
    <w:rsid w:val="00574D6C"/>
    <w:rsid w:val="005804A8"/>
    <w:rsid w:val="00580E9E"/>
    <w:rsid w:val="00582FE9"/>
    <w:rsid w:val="005904D4"/>
    <w:rsid w:val="00590823"/>
    <w:rsid w:val="00591603"/>
    <w:rsid w:val="0059234C"/>
    <w:rsid w:val="00592E7D"/>
    <w:rsid w:val="0059397E"/>
    <w:rsid w:val="00597638"/>
    <w:rsid w:val="005976C9"/>
    <w:rsid w:val="005A432A"/>
    <w:rsid w:val="005A6569"/>
    <w:rsid w:val="005A690B"/>
    <w:rsid w:val="005B2D3E"/>
    <w:rsid w:val="005B62AE"/>
    <w:rsid w:val="005B6911"/>
    <w:rsid w:val="005C1334"/>
    <w:rsid w:val="005C4955"/>
    <w:rsid w:val="005D1F19"/>
    <w:rsid w:val="005E3469"/>
    <w:rsid w:val="005E49F9"/>
    <w:rsid w:val="005E67F4"/>
    <w:rsid w:val="005F3D97"/>
    <w:rsid w:val="005F7E58"/>
    <w:rsid w:val="0060484E"/>
    <w:rsid w:val="0060570D"/>
    <w:rsid w:val="00607391"/>
    <w:rsid w:val="006108E6"/>
    <w:rsid w:val="00616FC0"/>
    <w:rsid w:val="0061777A"/>
    <w:rsid w:val="006239D9"/>
    <w:rsid w:val="006248B1"/>
    <w:rsid w:val="00633677"/>
    <w:rsid w:val="006373AF"/>
    <w:rsid w:val="00640C6A"/>
    <w:rsid w:val="00643B43"/>
    <w:rsid w:val="0064471C"/>
    <w:rsid w:val="00651C79"/>
    <w:rsid w:val="00652E91"/>
    <w:rsid w:val="00653629"/>
    <w:rsid w:val="0065454A"/>
    <w:rsid w:val="00662332"/>
    <w:rsid w:val="006633E4"/>
    <w:rsid w:val="00665268"/>
    <w:rsid w:val="006678F1"/>
    <w:rsid w:val="00670738"/>
    <w:rsid w:val="00672DF6"/>
    <w:rsid w:val="006769F9"/>
    <w:rsid w:val="00680358"/>
    <w:rsid w:val="00681C32"/>
    <w:rsid w:val="00683E49"/>
    <w:rsid w:val="00685337"/>
    <w:rsid w:val="00685B2A"/>
    <w:rsid w:val="00697AF7"/>
    <w:rsid w:val="006A327B"/>
    <w:rsid w:val="006A337A"/>
    <w:rsid w:val="006A4750"/>
    <w:rsid w:val="006A47B6"/>
    <w:rsid w:val="006A48ED"/>
    <w:rsid w:val="006A7207"/>
    <w:rsid w:val="006B1BA2"/>
    <w:rsid w:val="006B6967"/>
    <w:rsid w:val="006B75E8"/>
    <w:rsid w:val="006B7DA9"/>
    <w:rsid w:val="006C038C"/>
    <w:rsid w:val="006C2B1F"/>
    <w:rsid w:val="006C406F"/>
    <w:rsid w:val="006C5F9F"/>
    <w:rsid w:val="006D2914"/>
    <w:rsid w:val="006D4B16"/>
    <w:rsid w:val="006E3C3B"/>
    <w:rsid w:val="006E776E"/>
    <w:rsid w:val="006F1F53"/>
    <w:rsid w:val="006F2703"/>
    <w:rsid w:val="006F3DCC"/>
    <w:rsid w:val="00700627"/>
    <w:rsid w:val="0070202C"/>
    <w:rsid w:val="00702D77"/>
    <w:rsid w:val="00706346"/>
    <w:rsid w:val="007064EB"/>
    <w:rsid w:val="00706F1B"/>
    <w:rsid w:val="00712492"/>
    <w:rsid w:val="007152A4"/>
    <w:rsid w:val="0071676F"/>
    <w:rsid w:val="00717394"/>
    <w:rsid w:val="00721888"/>
    <w:rsid w:val="00722949"/>
    <w:rsid w:val="00724E10"/>
    <w:rsid w:val="007272C6"/>
    <w:rsid w:val="00727371"/>
    <w:rsid w:val="00730DEA"/>
    <w:rsid w:val="007336BD"/>
    <w:rsid w:val="0073386B"/>
    <w:rsid w:val="00733D0C"/>
    <w:rsid w:val="0073418A"/>
    <w:rsid w:val="00742F56"/>
    <w:rsid w:val="00744D4C"/>
    <w:rsid w:val="00745B73"/>
    <w:rsid w:val="00746822"/>
    <w:rsid w:val="007472EB"/>
    <w:rsid w:val="00751838"/>
    <w:rsid w:val="0076104B"/>
    <w:rsid w:val="007620F1"/>
    <w:rsid w:val="00763C0A"/>
    <w:rsid w:val="00764BB5"/>
    <w:rsid w:val="00767CC0"/>
    <w:rsid w:val="00771404"/>
    <w:rsid w:val="007723E0"/>
    <w:rsid w:val="00773A4F"/>
    <w:rsid w:val="00774E22"/>
    <w:rsid w:val="00777B1D"/>
    <w:rsid w:val="0078143E"/>
    <w:rsid w:val="007830AB"/>
    <w:rsid w:val="00783C34"/>
    <w:rsid w:val="00784757"/>
    <w:rsid w:val="00792284"/>
    <w:rsid w:val="00792633"/>
    <w:rsid w:val="00795B76"/>
    <w:rsid w:val="007A023B"/>
    <w:rsid w:val="007A07B0"/>
    <w:rsid w:val="007A4CC9"/>
    <w:rsid w:val="007A61EA"/>
    <w:rsid w:val="007A6AC5"/>
    <w:rsid w:val="007A75D5"/>
    <w:rsid w:val="007B03DE"/>
    <w:rsid w:val="007B1A29"/>
    <w:rsid w:val="007B34AC"/>
    <w:rsid w:val="007C0F83"/>
    <w:rsid w:val="007C5839"/>
    <w:rsid w:val="007C69ED"/>
    <w:rsid w:val="007C7051"/>
    <w:rsid w:val="007D06B8"/>
    <w:rsid w:val="007D2295"/>
    <w:rsid w:val="007D501E"/>
    <w:rsid w:val="007D5424"/>
    <w:rsid w:val="007D78B3"/>
    <w:rsid w:val="007E1F33"/>
    <w:rsid w:val="007E2AE4"/>
    <w:rsid w:val="007E4E5C"/>
    <w:rsid w:val="007F15A7"/>
    <w:rsid w:val="007F31E9"/>
    <w:rsid w:val="007F5229"/>
    <w:rsid w:val="007F5377"/>
    <w:rsid w:val="007F63B0"/>
    <w:rsid w:val="007F7A7B"/>
    <w:rsid w:val="00801DDC"/>
    <w:rsid w:val="00811D5F"/>
    <w:rsid w:val="00813F88"/>
    <w:rsid w:val="0081605E"/>
    <w:rsid w:val="00824D5A"/>
    <w:rsid w:val="00824EF5"/>
    <w:rsid w:val="008311E7"/>
    <w:rsid w:val="008321F2"/>
    <w:rsid w:val="00832244"/>
    <w:rsid w:val="00832668"/>
    <w:rsid w:val="00834998"/>
    <w:rsid w:val="0083613A"/>
    <w:rsid w:val="00842914"/>
    <w:rsid w:val="00845FA9"/>
    <w:rsid w:val="00847B50"/>
    <w:rsid w:val="00852453"/>
    <w:rsid w:val="0085292D"/>
    <w:rsid w:val="00855D2C"/>
    <w:rsid w:val="00861B55"/>
    <w:rsid w:val="00862C19"/>
    <w:rsid w:val="008634F0"/>
    <w:rsid w:val="008637A7"/>
    <w:rsid w:val="00864FBE"/>
    <w:rsid w:val="00871EB6"/>
    <w:rsid w:val="00872335"/>
    <w:rsid w:val="00875464"/>
    <w:rsid w:val="00875ADF"/>
    <w:rsid w:val="008869D9"/>
    <w:rsid w:val="00887524"/>
    <w:rsid w:val="00890AAE"/>
    <w:rsid w:val="00895099"/>
    <w:rsid w:val="0089567D"/>
    <w:rsid w:val="008A5A36"/>
    <w:rsid w:val="008A60B2"/>
    <w:rsid w:val="008B02B5"/>
    <w:rsid w:val="008B15C2"/>
    <w:rsid w:val="008B36F6"/>
    <w:rsid w:val="008B4328"/>
    <w:rsid w:val="008D36F8"/>
    <w:rsid w:val="008D4F17"/>
    <w:rsid w:val="008D64CB"/>
    <w:rsid w:val="008E1390"/>
    <w:rsid w:val="008E366F"/>
    <w:rsid w:val="008E4A2A"/>
    <w:rsid w:val="008E624C"/>
    <w:rsid w:val="008F0E0B"/>
    <w:rsid w:val="008F12C4"/>
    <w:rsid w:val="008F2AF5"/>
    <w:rsid w:val="008F2DE5"/>
    <w:rsid w:val="008F34D2"/>
    <w:rsid w:val="008F4339"/>
    <w:rsid w:val="008F5C32"/>
    <w:rsid w:val="008F6F2A"/>
    <w:rsid w:val="008F7B19"/>
    <w:rsid w:val="0090036F"/>
    <w:rsid w:val="00904110"/>
    <w:rsid w:val="00913367"/>
    <w:rsid w:val="00915B24"/>
    <w:rsid w:val="009242B5"/>
    <w:rsid w:val="00924BC5"/>
    <w:rsid w:val="0092576B"/>
    <w:rsid w:val="00926BE5"/>
    <w:rsid w:val="009304CB"/>
    <w:rsid w:val="00935362"/>
    <w:rsid w:val="00940F6A"/>
    <w:rsid w:val="00941AA7"/>
    <w:rsid w:val="0094543C"/>
    <w:rsid w:val="009454C0"/>
    <w:rsid w:val="009457A3"/>
    <w:rsid w:val="009511F4"/>
    <w:rsid w:val="00951298"/>
    <w:rsid w:val="00951642"/>
    <w:rsid w:val="00953630"/>
    <w:rsid w:val="00953DB6"/>
    <w:rsid w:val="009560E6"/>
    <w:rsid w:val="0096003B"/>
    <w:rsid w:val="00963AC9"/>
    <w:rsid w:val="00963B29"/>
    <w:rsid w:val="00966545"/>
    <w:rsid w:val="00973145"/>
    <w:rsid w:val="00981E97"/>
    <w:rsid w:val="00983403"/>
    <w:rsid w:val="00984352"/>
    <w:rsid w:val="00985300"/>
    <w:rsid w:val="00993E04"/>
    <w:rsid w:val="00996A21"/>
    <w:rsid w:val="009A4AD6"/>
    <w:rsid w:val="009A4B4E"/>
    <w:rsid w:val="009A53E3"/>
    <w:rsid w:val="009A592D"/>
    <w:rsid w:val="009A6735"/>
    <w:rsid w:val="009B0AEF"/>
    <w:rsid w:val="009B21A8"/>
    <w:rsid w:val="009B3EC3"/>
    <w:rsid w:val="009B5851"/>
    <w:rsid w:val="009B67CB"/>
    <w:rsid w:val="009B6F4E"/>
    <w:rsid w:val="009B70EF"/>
    <w:rsid w:val="009C1AC4"/>
    <w:rsid w:val="009C6AFC"/>
    <w:rsid w:val="009D0CB8"/>
    <w:rsid w:val="009D22E3"/>
    <w:rsid w:val="009E1E88"/>
    <w:rsid w:val="009E3456"/>
    <w:rsid w:val="009F03E9"/>
    <w:rsid w:val="009F4844"/>
    <w:rsid w:val="00A0164F"/>
    <w:rsid w:val="00A02516"/>
    <w:rsid w:val="00A04EB0"/>
    <w:rsid w:val="00A07002"/>
    <w:rsid w:val="00A1508A"/>
    <w:rsid w:val="00A152DB"/>
    <w:rsid w:val="00A21335"/>
    <w:rsid w:val="00A2133E"/>
    <w:rsid w:val="00A219B3"/>
    <w:rsid w:val="00A23281"/>
    <w:rsid w:val="00A311B5"/>
    <w:rsid w:val="00A32AA5"/>
    <w:rsid w:val="00A36B28"/>
    <w:rsid w:val="00A36E1F"/>
    <w:rsid w:val="00A37BC0"/>
    <w:rsid w:val="00A46FD9"/>
    <w:rsid w:val="00A4703D"/>
    <w:rsid w:val="00A51889"/>
    <w:rsid w:val="00A545CD"/>
    <w:rsid w:val="00A55DC1"/>
    <w:rsid w:val="00A5619A"/>
    <w:rsid w:val="00A60BBA"/>
    <w:rsid w:val="00A60D1F"/>
    <w:rsid w:val="00A63145"/>
    <w:rsid w:val="00A657C1"/>
    <w:rsid w:val="00A669A4"/>
    <w:rsid w:val="00A66A05"/>
    <w:rsid w:val="00A80F19"/>
    <w:rsid w:val="00A85738"/>
    <w:rsid w:val="00A9480F"/>
    <w:rsid w:val="00A94F38"/>
    <w:rsid w:val="00A9662A"/>
    <w:rsid w:val="00A96EF2"/>
    <w:rsid w:val="00AA04C9"/>
    <w:rsid w:val="00AA1DFE"/>
    <w:rsid w:val="00AA7690"/>
    <w:rsid w:val="00AB414C"/>
    <w:rsid w:val="00AB55B5"/>
    <w:rsid w:val="00AC0C29"/>
    <w:rsid w:val="00AC34C0"/>
    <w:rsid w:val="00AD0ECA"/>
    <w:rsid w:val="00AD289C"/>
    <w:rsid w:val="00AD3AB4"/>
    <w:rsid w:val="00AD5DCC"/>
    <w:rsid w:val="00AD5F61"/>
    <w:rsid w:val="00AE2803"/>
    <w:rsid w:val="00AE36CC"/>
    <w:rsid w:val="00AE3A6E"/>
    <w:rsid w:val="00AE4DE9"/>
    <w:rsid w:val="00AF2630"/>
    <w:rsid w:val="00AF2F1F"/>
    <w:rsid w:val="00AF53C6"/>
    <w:rsid w:val="00B00CA0"/>
    <w:rsid w:val="00B05AB1"/>
    <w:rsid w:val="00B11A77"/>
    <w:rsid w:val="00B132B8"/>
    <w:rsid w:val="00B1494A"/>
    <w:rsid w:val="00B1512B"/>
    <w:rsid w:val="00B17122"/>
    <w:rsid w:val="00B21632"/>
    <w:rsid w:val="00B2199E"/>
    <w:rsid w:val="00B2206F"/>
    <w:rsid w:val="00B2395A"/>
    <w:rsid w:val="00B23F1C"/>
    <w:rsid w:val="00B3263E"/>
    <w:rsid w:val="00B43F88"/>
    <w:rsid w:val="00B441F7"/>
    <w:rsid w:val="00B44F7C"/>
    <w:rsid w:val="00B459C1"/>
    <w:rsid w:val="00B4624A"/>
    <w:rsid w:val="00B47A72"/>
    <w:rsid w:val="00B52503"/>
    <w:rsid w:val="00B54A5D"/>
    <w:rsid w:val="00B56006"/>
    <w:rsid w:val="00B566F3"/>
    <w:rsid w:val="00B57D8E"/>
    <w:rsid w:val="00B600C3"/>
    <w:rsid w:val="00B62DE6"/>
    <w:rsid w:val="00B6456D"/>
    <w:rsid w:val="00B671E8"/>
    <w:rsid w:val="00B67B42"/>
    <w:rsid w:val="00B711F7"/>
    <w:rsid w:val="00B71C5E"/>
    <w:rsid w:val="00B72374"/>
    <w:rsid w:val="00B72DDD"/>
    <w:rsid w:val="00B73899"/>
    <w:rsid w:val="00B749A3"/>
    <w:rsid w:val="00B75AEF"/>
    <w:rsid w:val="00B7641C"/>
    <w:rsid w:val="00B91310"/>
    <w:rsid w:val="00B93387"/>
    <w:rsid w:val="00B97749"/>
    <w:rsid w:val="00BA22D4"/>
    <w:rsid w:val="00BB0706"/>
    <w:rsid w:val="00BC32A2"/>
    <w:rsid w:val="00BC473F"/>
    <w:rsid w:val="00BC544D"/>
    <w:rsid w:val="00BC6D4F"/>
    <w:rsid w:val="00BD3332"/>
    <w:rsid w:val="00BD33A2"/>
    <w:rsid w:val="00BD3D6B"/>
    <w:rsid w:val="00BD3F22"/>
    <w:rsid w:val="00BD5A8C"/>
    <w:rsid w:val="00BE26E9"/>
    <w:rsid w:val="00BE4636"/>
    <w:rsid w:val="00BE58AA"/>
    <w:rsid w:val="00BE68AC"/>
    <w:rsid w:val="00BF117C"/>
    <w:rsid w:val="00BF1898"/>
    <w:rsid w:val="00BF2E26"/>
    <w:rsid w:val="00BF7DA9"/>
    <w:rsid w:val="00C0185A"/>
    <w:rsid w:val="00C023D2"/>
    <w:rsid w:val="00C0382C"/>
    <w:rsid w:val="00C05679"/>
    <w:rsid w:val="00C0731D"/>
    <w:rsid w:val="00C10145"/>
    <w:rsid w:val="00C15017"/>
    <w:rsid w:val="00C22F53"/>
    <w:rsid w:val="00C25873"/>
    <w:rsid w:val="00C30137"/>
    <w:rsid w:val="00C318F4"/>
    <w:rsid w:val="00C33B2C"/>
    <w:rsid w:val="00C34515"/>
    <w:rsid w:val="00C34B50"/>
    <w:rsid w:val="00C41D82"/>
    <w:rsid w:val="00C4289C"/>
    <w:rsid w:val="00C4727B"/>
    <w:rsid w:val="00C47F32"/>
    <w:rsid w:val="00C53A6B"/>
    <w:rsid w:val="00C56CF1"/>
    <w:rsid w:val="00C6179A"/>
    <w:rsid w:val="00C62827"/>
    <w:rsid w:val="00C629CD"/>
    <w:rsid w:val="00C6491F"/>
    <w:rsid w:val="00C6753D"/>
    <w:rsid w:val="00C71230"/>
    <w:rsid w:val="00C721F0"/>
    <w:rsid w:val="00C73509"/>
    <w:rsid w:val="00C755CA"/>
    <w:rsid w:val="00C756A9"/>
    <w:rsid w:val="00C76C89"/>
    <w:rsid w:val="00C772F5"/>
    <w:rsid w:val="00C90652"/>
    <w:rsid w:val="00C91564"/>
    <w:rsid w:val="00C9208F"/>
    <w:rsid w:val="00C92796"/>
    <w:rsid w:val="00C959FE"/>
    <w:rsid w:val="00C95B62"/>
    <w:rsid w:val="00CA2DC3"/>
    <w:rsid w:val="00CA53C5"/>
    <w:rsid w:val="00CA55FF"/>
    <w:rsid w:val="00CB231D"/>
    <w:rsid w:val="00CB2B19"/>
    <w:rsid w:val="00CB4645"/>
    <w:rsid w:val="00CB7C49"/>
    <w:rsid w:val="00CC030D"/>
    <w:rsid w:val="00CC144F"/>
    <w:rsid w:val="00CC6A54"/>
    <w:rsid w:val="00CC7921"/>
    <w:rsid w:val="00CD09CB"/>
    <w:rsid w:val="00CD1193"/>
    <w:rsid w:val="00CD1623"/>
    <w:rsid w:val="00CE1496"/>
    <w:rsid w:val="00CE2843"/>
    <w:rsid w:val="00CE32F6"/>
    <w:rsid w:val="00CE42F0"/>
    <w:rsid w:val="00CE5829"/>
    <w:rsid w:val="00CF3745"/>
    <w:rsid w:val="00CF6622"/>
    <w:rsid w:val="00CF7041"/>
    <w:rsid w:val="00D02DCD"/>
    <w:rsid w:val="00D02E61"/>
    <w:rsid w:val="00D108B6"/>
    <w:rsid w:val="00D146C5"/>
    <w:rsid w:val="00D20F68"/>
    <w:rsid w:val="00D23A0D"/>
    <w:rsid w:val="00D44BA9"/>
    <w:rsid w:val="00D470DA"/>
    <w:rsid w:val="00D5199F"/>
    <w:rsid w:val="00D55D5B"/>
    <w:rsid w:val="00D570C8"/>
    <w:rsid w:val="00D57D43"/>
    <w:rsid w:val="00D63996"/>
    <w:rsid w:val="00D659CC"/>
    <w:rsid w:val="00D66839"/>
    <w:rsid w:val="00D67628"/>
    <w:rsid w:val="00D67D9E"/>
    <w:rsid w:val="00D75097"/>
    <w:rsid w:val="00D86296"/>
    <w:rsid w:val="00D874AA"/>
    <w:rsid w:val="00D8780C"/>
    <w:rsid w:val="00D87AF2"/>
    <w:rsid w:val="00D92CDD"/>
    <w:rsid w:val="00D92D6C"/>
    <w:rsid w:val="00DA0DDF"/>
    <w:rsid w:val="00DA19E6"/>
    <w:rsid w:val="00DA3051"/>
    <w:rsid w:val="00DA32D4"/>
    <w:rsid w:val="00DA5CF2"/>
    <w:rsid w:val="00DB0229"/>
    <w:rsid w:val="00DB0F23"/>
    <w:rsid w:val="00DB2885"/>
    <w:rsid w:val="00DB3B5C"/>
    <w:rsid w:val="00DB4515"/>
    <w:rsid w:val="00DB4EF3"/>
    <w:rsid w:val="00DB509E"/>
    <w:rsid w:val="00DC1F8D"/>
    <w:rsid w:val="00DC477A"/>
    <w:rsid w:val="00DD53F7"/>
    <w:rsid w:val="00DE01C7"/>
    <w:rsid w:val="00DE05E6"/>
    <w:rsid w:val="00DE2FD9"/>
    <w:rsid w:val="00DE41D2"/>
    <w:rsid w:val="00DF1260"/>
    <w:rsid w:val="00DF1A3E"/>
    <w:rsid w:val="00DF3FD7"/>
    <w:rsid w:val="00DF569D"/>
    <w:rsid w:val="00E03A3E"/>
    <w:rsid w:val="00E054D8"/>
    <w:rsid w:val="00E1356A"/>
    <w:rsid w:val="00E15B2C"/>
    <w:rsid w:val="00E17900"/>
    <w:rsid w:val="00E2078A"/>
    <w:rsid w:val="00E21B69"/>
    <w:rsid w:val="00E250D8"/>
    <w:rsid w:val="00E26FBA"/>
    <w:rsid w:val="00E33277"/>
    <w:rsid w:val="00E3349A"/>
    <w:rsid w:val="00E335B5"/>
    <w:rsid w:val="00E3536B"/>
    <w:rsid w:val="00E35AE8"/>
    <w:rsid w:val="00E36070"/>
    <w:rsid w:val="00E45D39"/>
    <w:rsid w:val="00E46506"/>
    <w:rsid w:val="00E469EC"/>
    <w:rsid w:val="00E47AEB"/>
    <w:rsid w:val="00E5034A"/>
    <w:rsid w:val="00E54894"/>
    <w:rsid w:val="00E54F53"/>
    <w:rsid w:val="00E550AC"/>
    <w:rsid w:val="00E554AE"/>
    <w:rsid w:val="00E571FB"/>
    <w:rsid w:val="00E5726F"/>
    <w:rsid w:val="00E6274A"/>
    <w:rsid w:val="00E65D1D"/>
    <w:rsid w:val="00E6658D"/>
    <w:rsid w:val="00E66742"/>
    <w:rsid w:val="00E66CC3"/>
    <w:rsid w:val="00E70079"/>
    <w:rsid w:val="00E71554"/>
    <w:rsid w:val="00E71628"/>
    <w:rsid w:val="00E72970"/>
    <w:rsid w:val="00E74ED5"/>
    <w:rsid w:val="00E80027"/>
    <w:rsid w:val="00E80E3E"/>
    <w:rsid w:val="00E8454F"/>
    <w:rsid w:val="00E845B1"/>
    <w:rsid w:val="00E860AB"/>
    <w:rsid w:val="00E90359"/>
    <w:rsid w:val="00E94593"/>
    <w:rsid w:val="00E94B6D"/>
    <w:rsid w:val="00E96DDF"/>
    <w:rsid w:val="00E972CD"/>
    <w:rsid w:val="00EA10ED"/>
    <w:rsid w:val="00EA136D"/>
    <w:rsid w:val="00EA3031"/>
    <w:rsid w:val="00EA4161"/>
    <w:rsid w:val="00EA4230"/>
    <w:rsid w:val="00EA70FB"/>
    <w:rsid w:val="00EB120F"/>
    <w:rsid w:val="00EB1978"/>
    <w:rsid w:val="00EB4247"/>
    <w:rsid w:val="00EB660F"/>
    <w:rsid w:val="00EB77CA"/>
    <w:rsid w:val="00EC165C"/>
    <w:rsid w:val="00EC1E82"/>
    <w:rsid w:val="00EC69A4"/>
    <w:rsid w:val="00ED205D"/>
    <w:rsid w:val="00ED3364"/>
    <w:rsid w:val="00ED5F82"/>
    <w:rsid w:val="00ED7A15"/>
    <w:rsid w:val="00EE76B2"/>
    <w:rsid w:val="00EF0999"/>
    <w:rsid w:val="00EF6AC2"/>
    <w:rsid w:val="00F009D6"/>
    <w:rsid w:val="00F06362"/>
    <w:rsid w:val="00F06949"/>
    <w:rsid w:val="00F10DD8"/>
    <w:rsid w:val="00F15165"/>
    <w:rsid w:val="00F21E8C"/>
    <w:rsid w:val="00F2362A"/>
    <w:rsid w:val="00F23D81"/>
    <w:rsid w:val="00F32DAE"/>
    <w:rsid w:val="00F36362"/>
    <w:rsid w:val="00F4367C"/>
    <w:rsid w:val="00F43823"/>
    <w:rsid w:val="00F500D3"/>
    <w:rsid w:val="00F51B06"/>
    <w:rsid w:val="00F51E6A"/>
    <w:rsid w:val="00F53AFC"/>
    <w:rsid w:val="00F541FD"/>
    <w:rsid w:val="00F5466E"/>
    <w:rsid w:val="00F56E74"/>
    <w:rsid w:val="00F577D6"/>
    <w:rsid w:val="00F6039C"/>
    <w:rsid w:val="00F60E45"/>
    <w:rsid w:val="00F630EA"/>
    <w:rsid w:val="00F70CAE"/>
    <w:rsid w:val="00F7170C"/>
    <w:rsid w:val="00F71E0C"/>
    <w:rsid w:val="00F80947"/>
    <w:rsid w:val="00F80BB5"/>
    <w:rsid w:val="00F81557"/>
    <w:rsid w:val="00F85016"/>
    <w:rsid w:val="00F86DF9"/>
    <w:rsid w:val="00F86E6F"/>
    <w:rsid w:val="00F91180"/>
    <w:rsid w:val="00F936FD"/>
    <w:rsid w:val="00F938CD"/>
    <w:rsid w:val="00F9650F"/>
    <w:rsid w:val="00F9651D"/>
    <w:rsid w:val="00F97AE1"/>
    <w:rsid w:val="00FA42CA"/>
    <w:rsid w:val="00FA7A17"/>
    <w:rsid w:val="00FB27AD"/>
    <w:rsid w:val="00FB44CD"/>
    <w:rsid w:val="00FC1623"/>
    <w:rsid w:val="00FD17E9"/>
    <w:rsid w:val="00FD3E57"/>
    <w:rsid w:val="00FD533D"/>
    <w:rsid w:val="00FD7CEE"/>
    <w:rsid w:val="00FD7F5E"/>
    <w:rsid w:val="00FE22C2"/>
    <w:rsid w:val="00FE438E"/>
    <w:rsid w:val="00FE78B6"/>
    <w:rsid w:val="00FF0A24"/>
    <w:rsid w:val="00FF1E9C"/>
    <w:rsid w:val="00FF5ACE"/>
    <w:rsid w:val="01340338"/>
    <w:rsid w:val="013C0F41"/>
    <w:rsid w:val="01AA2C9C"/>
    <w:rsid w:val="01ED3E94"/>
    <w:rsid w:val="01FC4887"/>
    <w:rsid w:val="025D0094"/>
    <w:rsid w:val="03A32D40"/>
    <w:rsid w:val="03AA1D2B"/>
    <w:rsid w:val="03DF26A1"/>
    <w:rsid w:val="04052394"/>
    <w:rsid w:val="05055638"/>
    <w:rsid w:val="052538A4"/>
    <w:rsid w:val="05FE4608"/>
    <w:rsid w:val="07C210E2"/>
    <w:rsid w:val="07E30082"/>
    <w:rsid w:val="082C2ECD"/>
    <w:rsid w:val="095D02E0"/>
    <w:rsid w:val="0BD14A53"/>
    <w:rsid w:val="0D425BD1"/>
    <w:rsid w:val="0D7E1160"/>
    <w:rsid w:val="0D88223F"/>
    <w:rsid w:val="0E775EE3"/>
    <w:rsid w:val="0EDB3AB8"/>
    <w:rsid w:val="107749DC"/>
    <w:rsid w:val="11200232"/>
    <w:rsid w:val="11EF3F37"/>
    <w:rsid w:val="12FA1594"/>
    <w:rsid w:val="13D026E3"/>
    <w:rsid w:val="13D276BB"/>
    <w:rsid w:val="166B6EFD"/>
    <w:rsid w:val="16AB6ADB"/>
    <w:rsid w:val="16B73DD2"/>
    <w:rsid w:val="177A5496"/>
    <w:rsid w:val="191F1E7B"/>
    <w:rsid w:val="19357421"/>
    <w:rsid w:val="19D600E1"/>
    <w:rsid w:val="1CAA04E0"/>
    <w:rsid w:val="1CF90395"/>
    <w:rsid w:val="1E2D471E"/>
    <w:rsid w:val="1E4A18E9"/>
    <w:rsid w:val="1EB85CE6"/>
    <w:rsid w:val="213D62E5"/>
    <w:rsid w:val="219B6089"/>
    <w:rsid w:val="226D2B5A"/>
    <w:rsid w:val="22B3060F"/>
    <w:rsid w:val="24011A9F"/>
    <w:rsid w:val="24BF27DB"/>
    <w:rsid w:val="2514617C"/>
    <w:rsid w:val="290E0FBE"/>
    <w:rsid w:val="29DB7212"/>
    <w:rsid w:val="2A19284B"/>
    <w:rsid w:val="2A5262AC"/>
    <w:rsid w:val="2BAC4D85"/>
    <w:rsid w:val="2BE635ED"/>
    <w:rsid w:val="2C3D1EFE"/>
    <w:rsid w:val="2D040E5A"/>
    <w:rsid w:val="2EE67B62"/>
    <w:rsid w:val="2FAD532D"/>
    <w:rsid w:val="305441BE"/>
    <w:rsid w:val="326D1565"/>
    <w:rsid w:val="32DF1FCD"/>
    <w:rsid w:val="33082FB4"/>
    <w:rsid w:val="33153309"/>
    <w:rsid w:val="33B65CDB"/>
    <w:rsid w:val="33CE51AA"/>
    <w:rsid w:val="35D330D3"/>
    <w:rsid w:val="36060AC1"/>
    <w:rsid w:val="365171B7"/>
    <w:rsid w:val="378D71D2"/>
    <w:rsid w:val="38A41528"/>
    <w:rsid w:val="38B115C0"/>
    <w:rsid w:val="390135E9"/>
    <w:rsid w:val="3AC050A2"/>
    <w:rsid w:val="3B854F2C"/>
    <w:rsid w:val="3E420325"/>
    <w:rsid w:val="3E9B6ECD"/>
    <w:rsid w:val="3F074F54"/>
    <w:rsid w:val="3FA33FAD"/>
    <w:rsid w:val="3FD025D0"/>
    <w:rsid w:val="419A27CC"/>
    <w:rsid w:val="45A44D00"/>
    <w:rsid w:val="46144FAF"/>
    <w:rsid w:val="464F3C7F"/>
    <w:rsid w:val="46FD5DEC"/>
    <w:rsid w:val="48784207"/>
    <w:rsid w:val="498274F0"/>
    <w:rsid w:val="4A7366B4"/>
    <w:rsid w:val="4BD2026A"/>
    <w:rsid w:val="4E22264D"/>
    <w:rsid w:val="4E431630"/>
    <w:rsid w:val="4E97608F"/>
    <w:rsid w:val="4F057B8D"/>
    <w:rsid w:val="4F167218"/>
    <w:rsid w:val="4F8D452F"/>
    <w:rsid w:val="503472E7"/>
    <w:rsid w:val="522A6EA2"/>
    <w:rsid w:val="527861BF"/>
    <w:rsid w:val="52DE64A3"/>
    <w:rsid w:val="55573AC9"/>
    <w:rsid w:val="55FA79D4"/>
    <w:rsid w:val="56F37A56"/>
    <w:rsid w:val="577B5668"/>
    <w:rsid w:val="588A3234"/>
    <w:rsid w:val="5997771E"/>
    <w:rsid w:val="5B126E48"/>
    <w:rsid w:val="5B265EC4"/>
    <w:rsid w:val="5B62503D"/>
    <w:rsid w:val="5BF13FC0"/>
    <w:rsid w:val="5C796D28"/>
    <w:rsid w:val="5DAB3CC6"/>
    <w:rsid w:val="5E5F1D1E"/>
    <w:rsid w:val="5E671AAA"/>
    <w:rsid w:val="60760EED"/>
    <w:rsid w:val="631008A0"/>
    <w:rsid w:val="63EC6E30"/>
    <w:rsid w:val="64672BD5"/>
    <w:rsid w:val="64867127"/>
    <w:rsid w:val="65AC7AC7"/>
    <w:rsid w:val="65D34540"/>
    <w:rsid w:val="662252CE"/>
    <w:rsid w:val="66BA65DD"/>
    <w:rsid w:val="67881D05"/>
    <w:rsid w:val="67F33FAC"/>
    <w:rsid w:val="6869544A"/>
    <w:rsid w:val="688D5160"/>
    <w:rsid w:val="69D13089"/>
    <w:rsid w:val="6AB412D8"/>
    <w:rsid w:val="6BED7FC4"/>
    <w:rsid w:val="6E60444B"/>
    <w:rsid w:val="6F8C7BD6"/>
    <w:rsid w:val="6FF5E0A4"/>
    <w:rsid w:val="6FFFA540"/>
    <w:rsid w:val="708C2456"/>
    <w:rsid w:val="70C434C1"/>
    <w:rsid w:val="71AA38E5"/>
    <w:rsid w:val="72083027"/>
    <w:rsid w:val="72FB3543"/>
    <w:rsid w:val="73F926F1"/>
    <w:rsid w:val="74431245"/>
    <w:rsid w:val="76816ABE"/>
    <w:rsid w:val="76866AF6"/>
    <w:rsid w:val="769C2157"/>
    <w:rsid w:val="77155079"/>
    <w:rsid w:val="771F3558"/>
    <w:rsid w:val="78633D4E"/>
    <w:rsid w:val="78D270C7"/>
    <w:rsid w:val="795D3FF3"/>
    <w:rsid w:val="7B371773"/>
    <w:rsid w:val="7B4C6231"/>
    <w:rsid w:val="7C0D3568"/>
    <w:rsid w:val="7D6E11ED"/>
    <w:rsid w:val="7D8D21EE"/>
    <w:rsid w:val="7E065189"/>
    <w:rsid w:val="7E8E7EA7"/>
    <w:rsid w:val="BFE7B8C6"/>
    <w:rsid w:val="FFE507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0" w:name="footnote text"/>
    <w:lsdException w:qFormat="1" w:uiPriority="99" w:name="annotation text"/>
    <w:lsdException w:qFormat="1" w:uiPriority="99" w:semiHidden="0" w:name="header"/>
    <w:lsdException w:qFormat="1" w:uiPriority="99" w:semiHidden="0" w:name="footer"/>
    <w:lsdException w:uiPriority="0" w:name="index heading"/>
    <w:lsdException w:qFormat="1" w:uiPriority="35" w:semiHidden="0" w:name="caption"/>
    <w:lsdException w:uiPriority="0" w:name="table of figures"/>
    <w:lsdException w:uiPriority="0" w:name="envelope address"/>
    <w:lsdException w:uiPriority="0" w:name="envelope return"/>
    <w:lsdException w:uiPriority="0" w:name="footnote reference"/>
    <w:lsdException w:qFormat="1" w:uiPriority="99" w:name="annotation reference"/>
    <w:lsdException w:uiPriority="0" w:name="line number"/>
    <w:lsdException w:qFormat="1" w:unhideWhenUsed="0" w:uiPriority="0" w:semiHidden="0" w:name="page number"/>
    <w:lsdException w:qFormat="1" w:uiPriority="99" w:name="endnote reference"/>
    <w:lsdException w:qFormat="1" w:uiPriority="99"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qFormat="1"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pacing w:line="600" w:lineRule="exact"/>
      <w:ind w:firstLine="640" w:firstLineChars="200"/>
      <w:jc w:val="both"/>
    </w:pPr>
    <w:rPr>
      <w:rFonts w:ascii="仿宋" w:hAnsi="仿宋" w:eastAsia="仿宋" w:cs="Times New Roman"/>
      <w:kern w:val="2"/>
      <w:sz w:val="32"/>
      <w:szCs w:val="24"/>
      <w:lang w:val="en-US" w:eastAsia="zh-CN" w:bidi="ar-SA"/>
    </w:rPr>
  </w:style>
  <w:style w:type="paragraph" w:styleId="2">
    <w:name w:val="heading 1"/>
    <w:basedOn w:val="1"/>
    <w:next w:val="1"/>
    <w:link w:val="85"/>
    <w:qFormat/>
    <w:uiPriority w:val="9"/>
    <w:pPr>
      <w:keepNext/>
      <w:keepLines/>
      <w:spacing w:line="240" w:lineRule="auto"/>
      <w:ind w:firstLine="0" w:firstLineChars="0"/>
      <w:jc w:val="left"/>
      <w:outlineLvl w:val="0"/>
    </w:pPr>
    <w:rPr>
      <w:rFonts w:ascii="Times New Roman" w:hAnsi="Times New Roman" w:eastAsia="黑体"/>
      <w:b/>
      <w:bCs/>
      <w:kern w:val="44"/>
      <w:sz w:val="36"/>
      <w:szCs w:val="44"/>
    </w:rPr>
  </w:style>
  <w:style w:type="paragraph" w:styleId="3">
    <w:name w:val="heading 2"/>
    <w:basedOn w:val="1"/>
    <w:next w:val="1"/>
    <w:link w:val="86"/>
    <w:unhideWhenUsed/>
    <w:qFormat/>
    <w:uiPriority w:val="9"/>
    <w:pPr>
      <w:keepNext/>
      <w:keepLines/>
      <w:spacing w:line="240" w:lineRule="auto"/>
      <w:ind w:firstLine="0" w:firstLineChars="0"/>
      <w:outlineLvl w:val="1"/>
    </w:pPr>
    <w:rPr>
      <w:rFonts w:ascii="Times New Roman" w:hAnsi="Times New Roman" w:eastAsia="楷体"/>
      <w:b/>
      <w:bCs/>
      <w:szCs w:val="32"/>
    </w:rPr>
  </w:style>
  <w:style w:type="paragraph" w:styleId="4">
    <w:name w:val="heading 3"/>
    <w:basedOn w:val="1"/>
    <w:next w:val="1"/>
    <w:link w:val="87"/>
    <w:unhideWhenUsed/>
    <w:qFormat/>
    <w:uiPriority w:val="9"/>
    <w:pPr>
      <w:keepNext/>
      <w:keepLines/>
      <w:spacing w:line="240" w:lineRule="auto"/>
      <w:ind w:firstLine="0" w:firstLineChars="0"/>
      <w:outlineLvl w:val="2"/>
    </w:pPr>
    <w:rPr>
      <w:rFonts w:ascii="Times New Roman" w:hAnsi="Times New Roman" w:eastAsia="楷体"/>
      <w:bCs/>
      <w:szCs w:val="32"/>
    </w:rPr>
  </w:style>
  <w:style w:type="paragraph" w:styleId="5">
    <w:name w:val="heading 4"/>
    <w:basedOn w:val="1"/>
    <w:next w:val="1"/>
    <w:link w:val="88"/>
    <w:unhideWhenUsed/>
    <w:qFormat/>
    <w:uiPriority w:val="9"/>
    <w:pPr>
      <w:keepNext/>
      <w:keepLines/>
      <w:spacing w:line="240" w:lineRule="auto"/>
      <w:ind w:firstLine="0" w:firstLineChars="0"/>
      <w:outlineLvl w:val="3"/>
    </w:pPr>
    <w:rPr>
      <w:rFonts w:ascii="Times New Roman" w:hAnsi="Times New Roman" w:eastAsia="楷体"/>
      <w:bCs/>
      <w:szCs w:val="28"/>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uiPriority w:val="39"/>
    <w:pPr>
      <w:ind w:left="1440"/>
      <w:jc w:val="left"/>
    </w:pPr>
    <w:rPr>
      <w:rFonts w:ascii="Calibri" w:hAnsi="Calibri"/>
      <w:sz w:val="18"/>
      <w:szCs w:val="18"/>
    </w:rPr>
  </w:style>
  <w:style w:type="paragraph" w:styleId="7">
    <w:name w:val="Normal Indent"/>
    <w:basedOn w:val="1"/>
    <w:link w:val="120"/>
    <w:qFormat/>
    <w:uiPriority w:val="0"/>
    <w:pPr>
      <w:ind w:firstLine="0" w:firstLineChars="0"/>
      <w:jc w:val="left"/>
    </w:pPr>
    <w:rPr>
      <w:rFonts w:ascii="Times New Roman" w:hAnsi="Times New Roman" w:eastAsia="宋体"/>
      <w:sz w:val="28"/>
    </w:rPr>
  </w:style>
  <w:style w:type="paragraph" w:styleId="8">
    <w:name w:val="caption"/>
    <w:basedOn w:val="1"/>
    <w:next w:val="1"/>
    <w:unhideWhenUsed/>
    <w:qFormat/>
    <w:uiPriority w:val="35"/>
    <w:pPr>
      <w:spacing w:after="200" w:line="276" w:lineRule="auto"/>
      <w:ind w:firstLine="0" w:firstLineChars="0"/>
      <w:jc w:val="left"/>
    </w:pPr>
    <w:rPr>
      <w:rFonts w:ascii="Calibri Light" w:hAnsi="Calibri Light" w:eastAsia="黑体" w:cs="黑体"/>
      <w:sz w:val="20"/>
      <w:szCs w:val="20"/>
      <w:lang w:eastAsia="en-US"/>
    </w:rPr>
  </w:style>
  <w:style w:type="paragraph" w:styleId="9">
    <w:name w:val="Document Map"/>
    <w:basedOn w:val="1"/>
    <w:link w:val="89"/>
    <w:unhideWhenUsed/>
    <w:qFormat/>
    <w:uiPriority w:val="99"/>
    <w:rPr>
      <w:rFonts w:ascii="宋体" w:eastAsia="宋体"/>
      <w:sz w:val="18"/>
      <w:szCs w:val="18"/>
    </w:rPr>
  </w:style>
  <w:style w:type="paragraph" w:styleId="10">
    <w:name w:val="annotation text"/>
    <w:basedOn w:val="1"/>
    <w:link w:val="94"/>
    <w:semiHidden/>
    <w:unhideWhenUsed/>
    <w:qFormat/>
    <w:uiPriority w:val="99"/>
    <w:pPr>
      <w:jc w:val="left"/>
    </w:pPr>
  </w:style>
  <w:style w:type="paragraph" w:styleId="11">
    <w:name w:val="Body Text"/>
    <w:basedOn w:val="1"/>
    <w:link w:val="99"/>
    <w:qFormat/>
    <w:uiPriority w:val="0"/>
    <w:pPr>
      <w:spacing w:after="120"/>
      <w:ind w:firstLine="200"/>
    </w:pPr>
    <w:rPr>
      <w:rFonts w:ascii="Times New Roman" w:hAnsi="Times New Roman"/>
    </w:rPr>
  </w:style>
  <w:style w:type="paragraph" w:styleId="12">
    <w:name w:val="Body Text Indent"/>
    <w:basedOn w:val="1"/>
    <w:link w:val="105"/>
    <w:qFormat/>
    <w:uiPriority w:val="0"/>
    <w:pPr>
      <w:spacing w:after="120"/>
      <w:ind w:left="420" w:leftChars="200" w:firstLine="200"/>
    </w:pPr>
    <w:rPr>
      <w:rFonts w:ascii="Times New Roman" w:hAnsi="Times New Roman" w:eastAsia="仿宋_GB2312"/>
      <w:sz w:val="30"/>
    </w:rPr>
  </w:style>
  <w:style w:type="paragraph" w:styleId="13">
    <w:name w:val="toc 5"/>
    <w:basedOn w:val="1"/>
    <w:next w:val="1"/>
    <w:unhideWhenUsed/>
    <w:qFormat/>
    <w:uiPriority w:val="39"/>
    <w:pPr>
      <w:ind w:left="960"/>
      <w:jc w:val="left"/>
    </w:pPr>
    <w:rPr>
      <w:rFonts w:ascii="Calibri" w:hAnsi="Calibri"/>
      <w:sz w:val="18"/>
      <w:szCs w:val="18"/>
    </w:rPr>
  </w:style>
  <w:style w:type="paragraph" w:styleId="14">
    <w:name w:val="toc 3"/>
    <w:basedOn w:val="1"/>
    <w:next w:val="1"/>
    <w:unhideWhenUsed/>
    <w:qFormat/>
    <w:uiPriority w:val="39"/>
    <w:pPr>
      <w:ind w:left="480"/>
      <w:jc w:val="left"/>
    </w:pPr>
    <w:rPr>
      <w:rFonts w:ascii="Calibri" w:hAnsi="Calibri"/>
      <w:i/>
      <w:iCs/>
      <w:sz w:val="20"/>
      <w:szCs w:val="20"/>
    </w:rPr>
  </w:style>
  <w:style w:type="paragraph" w:styleId="15">
    <w:name w:val="toc 8"/>
    <w:basedOn w:val="1"/>
    <w:next w:val="1"/>
    <w:unhideWhenUsed/>
    <w:qFormat/>
    <w:uiPriority w:val="39"/>
    <w:pPr>
      <w:ind w:left="1680"/>
      <w:jc w:val="left"/>
    </w:pPr>
    <w:rPr>
      <w:rFonts w:ascii="Calibri" w:hAnsi="Calibri"/>
      <w:sz w:val="18"/>
      <w:szCs w:val="18"/>
    </w:rPr>
  </w:style>
  <w:style w:type="paragraph" w:styleId="16">
    <w:name w:val="Date"/>
    <w:basedOn w:val="1"/>
    <w:next w:val="1"/>
    <w:link w:val="97"/>
    <w:qFormat/>
    <w:uiPriority w:val="0"/>
    <w:pPr>
      <w:ind w:left="100" w:leftChars="2500" w:firstLine="200"/>
    </w:pPr>
    <w:rPr>
      <w:rFonts w:ascii="Times New Roman" w:hAnsi="Times New Roman"/>
    </w:rPr>
  </w:style>
  <w:style w:type="paragraph" w:styleId="17">
    <w:name w:val="Body Text Indent 2"/>
    <w:basedOn w:val="1"/>
    <w:link w:val="106"/>
    <w:qFormat/>
    <w:uiPriority w:val="0"/>
    <w:pPr>
      <w:spacing w:after="120" w:line="480" w:lineRule="auto"/>
      <w:ind w:left="420" w:leftChars="200" w:firstLine="200"/>
    </w:pPr>
    <w:rPr>
      <w:rFonts w:ascii="Times New Roman" w:hAnsi="Times New Roman" w:eastAsia="仿宋_GB2312"/>
      <w:sz w:val="30"/>
    </w:rPr>
  </w:style>
  <w:style w:type="paragraph" w:styleId="18">
    <w:name w:val="endnote text"/>
    <w:basedOn w:val="1"/>
    <w:link w:val="96"/>
    <w:semiHidden/>
    <w:unhideWhenUsed/>
    <w:qFormat/>
    <w:uiPriority w:val="99"/>
    <w:pPr>
      <w:snapToGrid w:val="0"/>
      <w:jc w:val="left"/>
    </w:pPr>
  </w:style>
  <w:style w:type="paragraph" w:styleId="19">
    <w:name w:val="Balloon Text"/>
    <w:basedOn w:val="1"/>
    <w:link w:val="90"/>
    <w:semiHidden/>
    <w:unhideWhenUsed/>
    <w:qFormat/>
    <w:uiPriority w:val="99"/>
    <w:pPr>
      <w:spacing w:line="240" w:lineRule="auto"/>
    </w:pPr>
    <w:rPr>
      <w:sz w:val="18"/>
      <w:szCs w:val="18"/>
    </w:rPr>
  </w:style>
  <w:style w:type="paragraph" w:styleId="20">
    <w:name w:val="footer"/>
    <w:basedOn w:val="1"/>
    <w:link w:val="91"/>
    <w:unhideWhenUsed/>
    <w:qFormat/>
    <w:uiPriority w:val="99"/>
    <w:pPr>
      <w:tabs>
        <w:tab w:val="center" w:pos="4153"/>
        <w:tab w:val="right" w:pos="8306"/>
      </w:tabs>
      <w:snapToGrid w:val="0"/>
      <w:jc w:val="left"/>
    </w:pPr>
    <w:rPr>
      <w:sz w:val="18"/>
      <w:szCs w:val="18"/>
    </w:rPr>
  </w:style>
  <w:style w:type="paragraph" w:styleId="21">
    <w:name w:val="header"/>
    <w:basedOn w:val="1"/>
    <w:link w:val="92"/>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spacing w:before="120" w:after="120"/>
      <w:jc w:val="left"/>
    </w:pPr>
    <w:rPr>
      <w:rFonts w:ascii="Calibri" w:hAnsi="Calibri"/>
      <w:b/>
      <w:bCs/>
      <w:caps/>
      <w:sz w:val="20"/>
      <w:szCs w:val="20"/>
    </w:rPr>
  </w:style>
  <w:style w:type="paragraph" w:styleId="23">
    <w:name w:val="toc 4"/>
    <w:basedOn w:val="1"/>
    <w:next w:val="1"/>
    <w:unhideWhenUsed/>
    <w:qFormat/>
    <w:uiPriority w:val="39"/>
    <w:pPr>
      <w:ind w:left="720"/>
      <w:jc w:val="left"/>
    </w:pPr>
    <w:rPr>
      <w:rFonts w:ascii="Calibri" w:hAnsi="Calibri"/>
      <w:sz w:val="18"/>
      <w:szCs w:val="18"/>
    </w:rPr>
  </w:style>
  <w:style w:type="paragraph" w:styleId="24">
    <w:name w:val="List"/>
    <w:basedOn w:val="1"/>
    <w:qFormat/>
    <w:uiPriority w:val="0"/>
    <w:pPr>
      <w:spacing w:line="240" w:lineRule="exact"/>
      <w:ind w:firstLine="0" w:firstLineChars="0"/>
    </w:pPr>
    <w:rPr>
      <w:rFonts w:ascii="Times New Roman" w:hAnsi="Times New Roman" w:eastAsia="宋体"/>
      <w:sz w:val="21"/>
    </w:rPr>
  </w:style>
  <w:style w:type="paragraph" w:styleId="25">
    <w:name w:val="toc 6"/>
    <w:basedOn w:val="1"/>
    <w:next w:val="1"/>
    <w:unhideWhenUsed/>
    <w:qFormat/>
    <w:uiPriority w:val="39"/>
    <w:pPr>
      <w:ind w:left="1200"/>
      <w:jc w:val="left"/>
    </w:pPr>
    <w:rPr>
      <w:rFonts w:ascii="Calibri" w:hAnsi="Calibri"/>
      <w:sz w:val="18"/>
      <w:szCs w:val="18"/>
    </w:rPr>
  </w:style>
  <w:style w:type="paragraph" w:styleId="26">
    <w:name w:val="toc 2"/>
    <w:basedOn w:val="1"/>
    <w:next w:val="1"/>
    <w:unhideWhenUsed/>
    <w:qFormat/>
    <w:uiPriority w:val="39"/>
    <w:pPr>
      <w:ind w:left="240"/>
      <w:jc w:val="left"/>
    </w:pPr>
    <w:rPr>
      <w:rFonts w:ascii="Calibri" w:hAnsi="Calibri"/>
      <w:smallCaps/>
      <w:sz w:val="20"/>
      <w:szCs w:val="20"/>
    </w:rPr>
  </w:style>
  <w:style w:type="paragraph" w:styleId="27">
    <w:name w:val="toc 9"/>
    <w:basedOn w:val="1"/>
    <w:next w:val="1"/>
    <w:unhideWhenUsed/>
    <w:qFormat/>
    <w:uiPriority w:val="39"/>
    <w:pPr>
      <w:ind w:left="1920"/>
      <w:jc w:val="left"/>
    </w:pPr>
    <w:rPr>
      <w:rFonts w:ascii="Calibri" w:hAnsi="Calibri"/>
      <w:sz w:val="18"/>
      <w:szCs w:val="18"/>
    </w:rPr>
  </w:style>
  <w:style w:type="paragraph" w:styleId="28">
    <w:name w:val="Normal (Web)"/>
    <w:basedOn w:val="1"/>
    <w:unhideWhenUsed/>
    <w:qFormat/>
    <w:uiPriority w:val="99"/>
    <w:pPr>
      <w:spacing w:before="100" w:beforeAutospacing="1" w:after="100" w:afterAutospacing="1"/>
      <w:jc w:val="left"/>
    </w:pPr>
    <w:rPr>
      <w:rFonts w:ascii="宋体" w:hAnsi="宋体" w:eastAsia="宋体"/>
    </w:rPr>
  </w:style>
  <w:style w:type="paragraph" w:styleId="29">
    <w:name w:val="annotation subject"/>
    <w:basedOn w:val="10"/>
    <w:next w:val="10"/>
    <w:link w:val="95"/>
    <w:semiHidden/>
    <w:unhideWhenUsed/>
    <w:qFormat/>
    <w:uiPriority w:val="99"/>
    <w:rPr>
      <w:b/>
      <w:bCs/>
    </w:rPr>
  </w:style>
  <w:style w:type="paragraph" w:styleId="30">
    <w:name w:val="Body Text First Indent"/>
    <w:basedOn w:val="11"/>
    <w:link w:val="98"/>
    <w:qFormat/>
    <w:uiPriority w:val="0"/>
    <w:pPr>
      <w:ind w:firstLine="420" w:firstLineChars="100"/>
    </w:pPr>
    <w:rPr>
      <w:rFonts w:eastAsia="宋体"/>
      <w:sz w:val="21"/>
    </w:rPr>
  </w:style>
  <w:style w:type="table" w:styleId="32">
    <w:name w:val="Table Grid"/>
    <w:basedOn w:val="3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4">
    <w:name w:val="Strong"/>
    <w:qFormat/>
    <w:uiPriority w:val="22"/>
    <w:rPr>
      <w:b/>
      <w:bCs/>
    </w:rPr>
  </w:style>
  <w:style w:type="character" w:styleId="35">
    <w:name w:val="endnote reference"/>
    <w:semiHidden/>
    <w:unhideWhenUsed/>
    <w:qFormat/>
    <w:uiPriority w:val="99"/>
    <w:rPr>
      <w:vertAlign w:val="superscript"/>
    </w:rPr>
  </w:style>
  <w:style w:type="character" w:styleId="36">
    <w:name w:val="page number"/>
    <w:basedOn w:val="33"/>
    <w:qFormat/>
    <w:uiPriority w:val="0"/>
  </w:style>
  <w:style w:type="character" w:styleId="37">
    <w:name w:val="FollowedHyperlink"/>
    <w:semiHidden/>
    <w:unhideWhenUsed/>
    <w:qFormat/>
    <w:uiPriority w:val="99"/>
    <w:rPr>
      <w:color w:val="800080"/>
      <w:u w:val="single"/>
    </w:rPr>
  </w:style>
  <w:style w:type="character" w:styleId="38">
    <w:name w:val="Hyperlink"/>
    <w:unhideWhenUsed/>
    <w:qFormat/>
    <w:uiPriority w:val="99"/>
    <w:rPr>
      <w:color w:val="0563C1"/>
      <w:u w:val="single"/>
    </w:rPr>
  </w:style>
  <w:style w:type="character" w:styleId="39">
    <w:name w:val="annotation reference"/>
    <w:semiHidden/>
    <w:unhideWhenUsed/>
    <w:qFormat/>
    <w:uiPriority w:val="99"/>
    <w:rPr>
      <w:sz w:val="21"/>
      <w:szCs w:val="21"/>
    </w:rPr>
  </w:style>
  <w:style w:type="paragraph" w:customStyle="1" w:styleId="40">
    <w:name w:val="列出段落1"/>
    <w:basedOn w:val="1"/>
    <w:qFormat/>
    <w:uiPriority w:val="34"/>
    <w:pPr>
      <w:ind w:firstLine="420"/>
    </w:pPr>
  </w:style>
  <w:style w:type="paragraph" w:customStyle="1" w:styleId="41">
    <w:name w:val="TOC 标题1"/>
    <w:basedOn w:val="2"/>
    <w:next w:val="1"/>
    <w:unhideWhenUsed/>
    <w:qFormat/>
    <w:uiPriority w:val="39"/>
    <w:pPr>
      <w:spacing w:before="240" w:line="259" w:lineRule="auto"/>
      <w:outlineLvl w:val="9"/>
    </w:pPr>
    <w:rPr>
      <w:rFonts w:ascii="Calibri Light" w:hAnsi="Calibri Light" w:eastAsia="宋体" w:cs="黑体"/>
      <w:b w:val="0"/>
      <w:bCs w:val="0"/>
      <w:color w:val="2D73B3"/>
      <w:kern w:val="0"/>
      <w:sz w:val="32"/>
      <w:szCs w:val="32"/>
    </w:rPr>
  </w:style>
  <w:style w:type="paragraph" w:customStyle="1" w:styleId="42">
    <w:name w:val="Table Paragraph"/>
    <w:basedOn w:val="1"/>
    <w:qFormat/>
    <w:uiPriority w:val="1"/>
  </w:style>
  <w:style w:type="paragraph" w:customStyle="1" w:styleId="43">
    <w:name w:val="WPSOffice手动目录 1"/>
    <w:qFormat/>
    <w:uiPriority w:val="0"/>
    <w:rPr>
      <w:rFonts w:ascii="Times New Roman" w:hAnsi="Times New Roman" w:eastAsia="宋体" w:cs="Times New Roman"/>
      <w:lang w:val="en-US" w:eastAsia="zh-CN" w:bidi="ar-SA"/>
    </w:rPr>
  </w:style>
  <w:style w:type="paragraph" w:customStyle="1" w:styleId="44">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45">
    <w:name w:val="TOC 标题2"/>
    <w:basedOn w:val="2"/>
    <w:next w:val="1"/>
    <w:unhideWhenUsed/>
    <w:qFormat/>
    <w:uiPriority w:val="39"/>
    <w:pPr>
      <w:spacing w:before="240" w:line="259" w:lineRule="auto"/>
      <w:outlineLvl w:val="9"/>
    </w:pPr>
    <w:rPr>
      <w:rFonts w:ascii="Calibri Light" w:hAnsi="Calibri Light" w:eastAsia="宋体" w:cs="黑体"/>
      <w:bCs w:val="0"/>
      <w:color w:val="2D73B3"/>
      <w:kern w:val="0"/>
      <w:sz w:val="32"/>
      <w:szCs w:val="32"/>
    </w:rPr>
  </w:style>
  <w:style w:type="paragraph" w:customStyle="1" w:styleId="46">
    <w:name w:val="msonormal"/>
    <w:basedOn w:val="1"/>
    <w:qFormat/>
    <w:uiPriority w:val="0"/>
    <w:pPr>
      <w:spacing w:before="100" w:beforeAutospacing="1" w:after="100" w:afterAutospacing="1" w:line="240" w:lineRule="auto"/>
      <w:ind w:firstLine="0" w:firstLineChars="0"/>
      <w:jc w:val="left"/>
    </w:pPr>
    <w:rPr>
      <w:rFonts w:ascii="宋体" w:hAnsi="宋体" w:eastAsia="宋体"/>
    </w:rPr>
  </w:style>
  <w:style w:type="paragraph" w:customStyle="1" w:styleId="47">
    <w:name w:val="font0"/>
    <w:basedOn w:val="1"/>
    <w:qFormat/>
    <w:uiPriority w:val="0"/>
    <w:pPr>
      <w:spacing w:before="100" w:beforeAutospacing="1" w:after="100" w:afterAutospacing="1" w:line="240" w:lineRule="auto"/>
      <w:ind w:firstLine="0" w:firstLineChars="0"/>
      <w:jc w:val="left"/>
    </w:pPr>
    <w:rPr>
      <w:rFonts w:ascii="宋体" w:hAnsi="宋体" w:eastAsia="宋体"/>
      <w:color w:val="000000"/>
      <w:sz w:val="22"/>
      <w:szCs w:val="22"/>
    </w:rPr>
  </w:style>
  <w:style w:type="paragraph" w:customStyle="1" w:styleId="48">
    <w:name w:val="font5"/>
    <w:basedOn w:val="1"/>
    <w:qFormat/>
    <w:uiPriority w:val="0"/>
    <w:pPr>
      <w:spacing w:before="100" w:beforeAutospacing="1" w:after="100" w:afterAutospacing="1" w:line="240" w:lineRule="auto"/>
      <w:ind w:firstLine="0" w:firstLineChars="0"/>
      <w:jc w:val="left"/>
    </w:pPr>
    <w:rPr>
      <w:rFonts w:ascii="宋体" w:hAnsi="宋体" w:eastAsia="宋体"/>
      <w:sz w:val="22"/>
      <w:szCs w:val="22"/>
    </w:rPr>
  </w:style>
  <w:style w:type="paragraph" w:customStyle="1" w:styleId="49">
    <w:name w:val="font6"/>
    <w:basedOn w:val="1"/>
    <w:qFormat/>
    <w:uiPriority w:val="0"/>
    <w:pPr>
      <w:spacing w:before="100" w:beforeAutospacing="1" w:after="100" w:afterAutospacing="1" w:line="240" w:lineRule="auto"/>
      <w:ind w:firstLine="0" w:firstLineChars="0"/>
      <w:jc w:val="left"/>
    </w:pPr>
    <w:rPr>
      <w:rFonts w:ascii="Times New Roman" w:hAnsi="Times New Roman" w:eastAsia="宋体"/>
      <w:color w:val="000000"/>
      <w:sz w:val="22"/>
      <w:szCs w:val="22"/>
    </w:rPr>
  </w:style>
  <w:style w:type="paragraph" w:customStyle="1" w:styleId="50">
    <w:name w:val="font7"/>
    <w:basedOn w:val="1"/>
    <w:qFormat/>
    <w:uiPriority w:val="0"/>
    <w:pPr>
      <w:spacing w:before="100" w:beforeAutospacing="1" w:after="100" w:afterAutospacing="1" w:line="240" w:lineRule="auto"/>
      <w:ind w:firstLine="0" w:firstLineChars="0"/>
      <w:jc w:val="left"/>
    </w:pPr>
    <w:rPr>
      <w:rFonts w:ascii="Times New Roman" w:hAnsi="Times New Roman" w:eastAsia="宋体"/>
      <w:sz w:val="22"/>
      <w:szCs w:val="22"/>
    </w:rPr>
  </w:style>
  <w:style w:type="paragraph" w:customStyle="1" w:styleId="51">
    <w:name w:val="font8"/>
    <w:basedOn w:val="1"/>
    <w:qFormat/>
    <w:uiPriority w:val="0"/>
    <w:pPr>
      <w:spacing w:before="100" w:beforeAutospacing="1" w:after="100" w:afterAutospacing="1" w:line="240" w:lineRule="auto"/>
      <w:ind w:firstLine="0" w:firstLineChars="0"/>
      <w:jc w:val="left"/>
    </w:pPr>
    <w:rPr>
      <w:rFonts w:ascii="宋体" w:hAnsi="宋体" w:eastAsia="宋体"/>
      <w:sz w:val="18"/>
      <w:szCs w:val="18"/>
    </w:rPr>
  </w:style>
  <w:style w:type="paragraph" w:customStyle="1" w:styleId="52">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b/>
      <w:bCs/>
    </w:rPr>
  </w:style>
  <w:style w:type="paragraph" w:customStyle="1" w:styleId="53">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54">
    <w:name w:val="xl9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55">
    <w:name w:val="xl9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56">
    <w:name w:val="xl94"/>
    <w:basedOn w:val="1"/>
    <w:qFormat/>
    <w:uiPriority w:val="0"/>
    <w:pPr>
      <w:spacing w:before="100" w:beforeAutospacing="1" w:after="100" w:afterAutospacing="1" w:line="240" w:lineRule="auto"/>
      <w:ind w:firstLine="0" w:firstLineChars="0"/>
      <w:jc w:val="left"/>
    </w:pPr>
    <w:rPr>
      <w:rFonts w:ascii="宋体" w:hAnsi="宋体" w:eastAsia="宋体"/>
      <w:b/>
      <w:bCs/>
    </w:rPr>
  </w:style>
  <w:style w:type="paragraph" w:customStyle="1" w:styleId="57">
    <w:name w:val="xl95"/>
    <w:basedOn w:val="1"/>
    <w:qFormat/>
    <w:uiPriority w:val="0"/>
    <w:pPr>
      <w:spacing w:before="100" w:beforeAutospacing="1" w:after="100" w:afterAutospacing="1" w:line="240" w:lineRule="auto"/>
      <w:ind w:firstLine="0" w:firstLineChars="0"/>
      <w:jc w:val="left"/>
    </w:pPr>
    <w:rPr>
      <w:rFonts w:ascii="宋体" w:hAnsi="宋体" w:eastAsia="宋体"/>
    </w:rPr>
  </w:style>
  <w:style w:type="paragraph" w:customStyle="1" w:styleId="58">
    <w:name w:val="xl96"/>
    <w:basedOn w:val="1"/>
    <w:qFormat/>
    <w:uiPriority w:val="0"/>
    <w:pPr>
      <w:spacing w:before="100" w:beforeAutospacing="1" w:after="100" w:afterAutospacing="1" w:line="240" w:lineRule="auto"/>
      <w:ind w:firstLine="0" w:firstLineChars="0"/>
      <w:jc w:val="left"/>
    </w:pPr>
    <w:rPr>
      <w:rFonts w:ascii="宋体" w:hAnsi="宋体" w:eastAsia="宋体"/>
    </w:rPr>
  </w:style>
  <w:style w:type="paragraph" w:customStyle="1" w:styleId="59">
    <w:name w:val="xl97"/>
    <w:basedOn w:val="1"/>
    <w:qFormat/>
    <w:uiPriority w:val="0"/>
    <w:pPr>
      <w:spacing w:before="100" w:beforeAutospacing="1" w:after="100" w:afterAutospacing="1" w:line="240" w:lineRule="auto"/>
      <w:ind w:firstLine="0" w:firstLineChars="0"/>
      <w:jc w:val="center"/>
    </w:pPr>
    <w:rPr>
      <w:rFonts w:ascii="宋体" w:hAnsi="宋体" w:eastAsia="宋体"/>
    </w:rPr>
  </w:style>
  <w:style w:type="paragraph" w:customStyle="1" w:styleId="60">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b/>
      <w:bCs/>
    </w:rPr>
  </w:style>
  <w:style w:type="paragraph" w:customStyle="1" w:styleId="61">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2">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63">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4">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65">
    <w:name w:val="xl10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6">
    <w:name w:val="xl10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7">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68">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69">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0">
    <w:name w:val="xl10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71">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2">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left"/>
    </w:pPr>
    <w:rPr>
      <w:rFonts w:ascii="宋体" w:hAnsi="宋体" w:eastAsia="宋体"/>
    </w:rPr>
  </w:style>
  <w:style w:type="paragraph" w:customStyle="1" w:styleId="73">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4">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textAlignment w:val="top"/>
    </w:pPr>
    <w:rPr>
      <w:rFonts w:ascii="宋体" w:hAnsi="宋体" w:eastAsia="宋体"/>
    </w:rPr>
  </w:style>
  <w:style w:type="paragraph" w:customStyle="1" w:styleId="75">
    <w:name w:val="xl11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6">
    <w:name w:val="xl11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240" w:lineRule="auto"/>
      <w:ind w:firstLine="0" w:firstLineChars="0"/>
      <w:jc w:val="center"/>
    </w:pPr>
    <w:rPr>
      <w:rFonts w:ascii="宋体" w:hAnsi="宋体" w:eastAsia="宋体"/>
    </w:rPr>
  </w:style>
  <w:style w:type="paragraph" w:customStyle="1" w:styleId="77">
    <w:name w:val="xl115"/>
    <w:basedOn w:val="1"/>
    <w:qFormat/>
    <w:uiPriority w:val="0"/>
    <w:pPr>
      <w:spacing w:before="100" w:beforeAutospacing="1" w:after="100" w:afterAutospacing="1" w:line="240" w:lineRule="auto"/>
      <w:ind w:firstLine="0" w:firstLineChars="0"/>
      <w:jc w:val="center"/>
    </w:pPr>
    <w:rPr>
      <w:rFonts w:ascii="宋体" w:hAnsi="宋体" w:eastAsia="宋体"/>
      <w:b/>
      <w:bCs/>
    </w:rPr>
  </w:style>
  <w:style w:type="paragraph" w:customStyle="1" w:styleId="78">
    <w:name w:val="段"/>
    <w:link w:val="101"/>
    <w:qFormat/>
    <w:uiPriority w:val="0"/>
    <w:pPr>
      <w:autoSpaceDE w:val="0"/>
      <w:autoSpaceDN w:val="0"/>
      <w:ind w:firstLine="200" w:firstLineChars="200"/>
      <w:jc w:val="both"/>
    </w:pPr>
    <w:rPr>
      <w:rFonts w:ascii="宋体" w:hAnsi="Times New Roman" w:eastAsia="Times New Roman" w:cs="Times New Roman"/>
      <w:sz w:val="21"/>
      <w:lang w:val="en-US" w:eastAsia="zh-CN" w:bidi="ar-SA"/>
    </w:rPr>
  </w:style>
  <w:style w:type="paragraph" w:customStyle="1" w:styleId="79">
    <w:name w:val="样式 (西文) Times New Roman 黑色 段前: 5 磅 段后: 5 磅 行距: 单倍行距 首行缩进:  ..."/>
    <w:basedOn w:val="1"/>
    <w:qFormat/>
    <w:uiPriority w:val="0"/>
    <w:pPr>
      <w:snapToGrid w:val="0"/>
      <w:spacing w:line="360" w:lineRule="auto"/>
      <w:ind w:firstLine="200"/>
    </w:pPr>
    <w:rPr>
      <w:rFonts w:ascii="宋体" w:hAnsi="宋体"/>
      <w:b/>
      <w:sz w:val="28"/>
      <w:szCs w:val="28"/>
    </w:rPr>
  </w:style>
  <w:style w:type="paragraph" w:customStyle="1" w:styleId="80">
    <w:name w:val="zw"/>
    <w:basedOn w:val="1"/>
    <w:qFormat/>
    <w:uiPriority w:val="0"/>
    <w:pPr>
      <w:widowControl/>
      <w:spacing w:before="100" w:beforeAutospacing="1" w:after="100" w:afterAutospacing="1" w:line="440" w:lineRule="atLeast"/>
      <w:ind w:firstLine="200"/>
      <w:jc w:val="left"/>
    </w:pPr>
    <w:rPr>
      <w:rFonts w:ascii="宋体" w:hAnsi="宋体" w:cs="宋体"/>
      <w:kern w:val="0"/>
      <w:sz w:val="22"/>
      <w:szCs w:val="22"/>
    </w:rPr>
  </w:style>
  <w:style w:type="paragraph" w:customStyle="1" w:styleId="81">
    <w:name w:val="报告正文"/>
    <w:basedOn w:val="1"/>
    <w:link w:val="103"/>
    <w:qFormat/>
    <w:uiPriority w:val="0"/>
    <w:pPr>
      <w:adjustRightInd w:val="0"/>
      <w:snapToGrid w:val="0"/>
      <w:spacing w:line="312" w:lineRule="auto"/>
      <w:ind w:firstLine="200"/>
    </w:pPr>
    <w:rPr>
      <w:rFonts w:ascii="宋体" w:hAnsi="Times New Roman" w:eastAsia="宋体"/>
      <w:sz w:val="28"/>
      <w:szCs w:val="20"/>
    </w:rPr>
  </w:style>
  <w:style w:type="paragraph" w:customStyle="1" w:styleId="82">
    <w:name w:val="p0"/>
    <w:basedOn w:val="1"/>
    <w:qFormat/>
    <w:uiPriority w:val="0"/>
    <w:pPr>
      <w:widowControl/>
      <w:spacing w:before="100" w:beforeAutospacing="1" w:after="100" w:afterAutospacing="1"/>
      <w:ind w:firstLine="200"/>
      <w:jc w:val="left"/>
    </w:pPr>
    <w:rPr>
      <w:rFonts w:ascii="宋体" w:hAnsi="宋体" w:cs="宋体"/>
      <w:kern w:val="0"/>
      <w:sz w:val="24"/>
    </w:rPr>
  </w:style>
  <w:style w:type="paragraph" w:customStyle="1" w:styleId="83">
    <w:name w:val="普通(网站)1"/>
    <w:basedOn w:val="1"/>
    <w:qFormat/>
    <w:uiPriority w:val="0"/>
    <w:pPr>
      <w:widowControl/>
      <w:ind w:firstLine="200"/>
      <w:jc w:val="left"/>
    </w:pPr>
    <w:rPr>
      <w:rFonts w:hint="eastAsia" w:ascii="宋体" w:hAnsi="宋体" w:eastAsia="仿宋_GB2312"/>
      <w:color w:val="000000"/>
      <w:sz w:val="24"/>
    </w:rPr>
  </w:style>
  <w:style w:type="paragraph" w:customStyle="1" w:styleId="84">
    <w:name w:val="明显引用1"/>
    <w:basedOn w:val="1"/>
    <w:next w:val="1"/>
    <w:link w:val="112"/>
    <w:qFormat/>
    <w:uiPriority w:val="30"/>
    <w:pPr>
      <w:pBdr>
        <w:top w:val="single" w:color="5B9BD5" w:sz="4" w:space="10"/>
        <w:bottom w:val="single" w:color="5B9BD5" w:sz="4" w:space="10"/>
      </w:pBdr>
      <w:spacing w:before="360" w:after="360"/>
      <w:ind w:left="864" w:right="864" w:firstLine="200"/>
      <w:jc w:val="center"/>
    </w:pPr>
    <w:rPr>
      <w:rFonts w:ascii="Times New Roman" w:hAnsi="Times New Roman"/>
      <w:i/>
      <w:iCs/>
      <w:color w:val="5B9BD5"/>
    </w:rPr>
  </w:style>
  <w:style w:type="character" w:customStyle="1" w:styleId="85">
    <w:name w:val="标题 1 字符"/>
    <w:link w:val="2"/>
    <w:qFormat/>
    <w:uiPriority w:val="9"/>
    <w:rPr>
      <w:rFonts w:eastAsia="黑体"/>
      <w:b/>
      <w:bCs/>
      <w:kern w:val="44"/>
      <w:sz w:val="36"/>
      <w:szCs w:val="44"/>
    </w:rPr>
  </w:style>
  <w:style w:type="character" w:customStyle="1" w:styleId="86">
    <w:name w:val="标题 2 字符"/>
    <w:link w:val="3"/>
    <w:qFormat/>
    <w:uiPriority w:val="9"/>
    <w:rPr>
      <w:rFonts w:eastAsia="楷体"/>
      <w:b/>
      <w:bCs/>
      <w:kern w:val="2"/>
      <w:sz w:val="32"/>
      <w:szCs w:val="32"/>
    </w:rPr>
  </w:style>
  <w:style w:type="character" w:customStyle="1" w:styleId="87">
    <w:name w:val="标题 3 字符"/>
    <w:link w:val="4"/>
    <w:qFormat/>
    <w:uiPriority w:val="9"/>
    <w:rPr>
      <w:rFonts w:eastAsia="楷体"/>
      <w:bCs/>
      <w:kern w:val="2"/>
      <w:sz w:val="32"/>
      <w:szCs w:val="32"/>
    </w:rPr>
  </w:style>
  <w:style w:type="character" w:customStyle="1" w:styleId="88">
    <w:name w:val="标题 4 字符"/>
    <w:link w:val="5"/>
    <w:qFormat/>
    <w:uiPriority w:val="9"/>
    <w:rPr>
      <w:rFonts w:eastAsia="楷体"/>
      <w:bCs/>
      <w:kern w:val="2"/>
      <w:sz w:val="32"/>
      <w:szCs w:val="28"/>
    </w:rPr>
  </w:style>
  <w:style w:type="character" w:customStyle="1" w:styleId="89">
    <w:name w:val="文档结构图 字符"/>
    <w:link w:val="9"/>
    <w:semiHidden/>
    <w:qFormat/>
    <w:uiPriority w:val="99"/>
    <w:rPr>
      <w:rFonts w:ascii="宋体" w:hAnsi="微软雅黑" w:eastAsia="宋体" w:cs="宋体"/>
      <w:color w:val="040404"/>
      <w:sz w:val="18"/>
      <w:szCs w:val="18"/>
      <w:shd w:val="clear" w:color="auto" w:fill="FFFFFF"/>
    </w:rPr>
  </w:style>
  <w:style w:type="character" w:customStyle="1" w:styleId="90">
    <w:name w:val="批注框文本 字符"/>
    <w:link w:val="19"/>
    <w:semiHidden/>
    <w:qFormat/>
    <w:uiPriority w:val="99"/>
    <w:rPr>
      <w:rFonts w:ascii="微软雅黑" w:hAnsi="微软雅黑" w:eastAsia="微软雅黑" w:cs="宋体"/>
      <w:color w:val="040404"/>
      <w:kern w:val="0"/>
      <w:sz w:val="18"/>
      <w:szCs w:val="18"/>
      <w:shd w:val="clear" w:color="auto" w:fill="FFFFFF"/>
    </w:rPr>
  </w:style>
  <w:style w:type="character" w:customStyle="1" w:styleId="91">
    <w:name w:val="页脚 字符"/>
    <w:link w:val="20"/>
    <w:qFormat/>
    <w:uiPriority w:val="99"/>
    <w:rPr>
      <w:sz w:val="18"/>
      <w:szCs w:val="18"/>
    </w:rPr>
  </w:style>
  <w:style w:type="character" w:customStyle="1" w:styleId="92">
    <w:name w:val="页眉 字符"/>
    <w:link w:val="21"/>
    <w:qFormat/>
    <w:uiPriority w:val="99"/>
    <w:rPr>
      <w:sz w:val="18"/>
      <w:szCs w:val="18"/>
    </w:rPr>
  </w:style>
  <w:style w:type="character" w:customStyle="1" w:styleId="93">
    <w:name w:val="标题1"/>
    <w:basedOn w:val="33"/>
    <w:qFormat/>
    <w:uiPriority w:val="0"/>
  </w:style>
  <w:style w:type="character" w:customStyle="1" w:styleId="94">
    <w:name w:val="批注文字 字符"/>
    <w:link w:val="10"/>
    <w:semiHidden/>
    <w:qFormat/>
    <w:uiPriority w:val="99"/>
    <w:rPr>
      <w:rFonts w:ascii="微软雅黑" w:hAnsi="微软雅黑" w:eastAsia="微软雅黑" w:cs="宋体"/>
      <w:color w:val="040404"/>
      <w:sz w:val="24"/>
      <w:szCs w:val="21"/>
      <w:shd w:val="clear" w:color="auto" w:fill="FFFFFF"/>
    </w:rPr>
  </w:style>
  <w:style w:type="character" w:customStyle="1" w:styleId="95">
    <w:name w:val="批注主题 字符"/>
    <w:link w:val="29"/>
    <w:semiHidden/>
    <w:qFormat/>
    <w:uiPriority w:val="99"/>
    <w:rPr>
      <w:rFonts w:ascii="微软雅黑" w:hAnsi="微软雅黑" w:eastAsia="微软雅黑" w:cs="宋体"/>
      <w:b/>
      <w:bCs/>
      <w:color w:val="040404"/>
      <w:sz w:val="24"/>
      <w:szCs w:val="21"/>
      <w:shd w:val="clear" w:color="auto" w:fill="FFFFFF"/>
    </w:rPr>
  </w:style>
  <w:style w:type="character" w:customStyle="1" w:styleId="96">
    <w:name w:val="尾注文本 字符"/>
    <w:link w:val="18"/>
    <w:semiHidden/>
    <w:qFormat/>
    <w:uiPriority w:val="99"/>
    <w:rPr>
      <w:rFonts w:ascii="微软雅黑" w:hAnsi="微软雅黑" w:eastAsia="微软雅黑" w:cs="宋体"/>
      <w:color w:val="040404"/>
      <w:sz w:val="24"/>
      <w:szCs w:val="21"/>
      <w:shd w:val="clear" w:color="auto" w:fill="FFFFFF"/>
    </w:rPr>
  </w:style>
  <w:style w:type="character" w:customStyle="1" w:styleId="97">
    <w:name w:val="日期 字符"/>
    <w:link w:val="16"/>
    <w:qFormat/>
    <w:uiPriority w:val="0"/>
    <w:rPr>
      <w:rFonts w:eastAsia="仿宋"/>
      <w:kern w:val="2"/>
      <w:sz w:val="32"/>
      <w:szCs w:val="24"/>
    </w:rPr>
  </w:style>
  <w:style w:type="character" w:customStyle="1" w:styleId="98">
    <w:name w:val="正文首行缩进 字符1"/>
    <w:link w:val="30"/>
    <w:qFormat/>
    <w:uiPriority w:val="0"/>
    <w:rPr>
      <w:kern w:val="2"/>
      <w:sz w:val="21"/>
      <w:szCs w:val="24"/>
    </w:rPr>
  </w:style>
  <w:style w:type="character" w:customStyle="1" w:styleId="99">
    <w:name w:val="正文文本 字符"/>
    <w:link w:val="11"/>
    <w:qFormat/>
    <w:uiPriority w:val="0"/>
    <w:rPr>
      <w:rFonts w:eastAsia="仿宋"/>
      <w:kern w:val="2"/>
      <w:sz w:val="32"/>
      <w:szCs w:val="24"/>
    </w:rPr>
  </w:style>
  <w:style w:type="character" w:customStyle="1" w:styleId="100">
    <w:name w:val="正文首行缩进 字符"/>
    <w:semiHidden/>
    <w:qFormat/>
    <w:uiPriority w:val="99"/>
    <w:rPr>
      <w:rFonts w:eastAsia="仿宋"/>
      <w:kern w:val="2"/>
      <w:sz w:val="32"/>
      <w:szCs w:val="24"/>
    </w:rPr>
  </w:style>
  <w:style w:type="character" w:customStyle="1" w:styleId="101">
    <w:name w:val="段 Char"/>
    <w:link w:val="78"/>
    <w:qFormat/>
    <w:uiPriority w:val="0"/>
    <w:rPr>
      <w:rFonts w:ascii="宋体" w:eastAsia="Times New Roman"/>
      <w:sz w:val="21"/>
    </w:rPr>
  </w:style>
  <w:style w:type="character" w:customStyle="1" w:styleId="102">
    <w:name w:val="标题 2 Char"/>
    <w:qFormat/>
    <w:uiPriority w:val="99"/>
    <w:rPr>
      <w:rFonts w:eastAsia="楷体"/>
      <w:b/>
      <w:bCs/>
      <w:kern w:val="2"/>
      <w:sz w:val="32"/>
      <w:szCs w:val="32"/>
    </w:rPr>
  </w:style>
  <w:style w:type="character" w:customStyle="1" w:styleId="103">
    <w:name w:val="报告正文 Char"/>
    <w:link w:val="81"/>
    <w:qFormat/>
    <w:uiPriority w:val="0"/>
    <w:rPr>
      <w:rFonts w:ascii="宋体"/>
      <w:kern w:val="2"/>
      <w:sz w:val="28"/>
    </w:rPr>
  </w:style>
  <w:style w:type="character" w:customStyle="1" w:styleId="104">
    <w:name w:val="zw1"/>
    <w:qFormat/>
    <w:uiPriority w:val="0"/>
    <w:rPr>
      <w:rFonts w:hint="eastAsia" w:ascii="宋体" w:hAnsi="宋体" w:eastAsia="宋体"/>
      <w:sz w:val="22"/>
      <w:szCs w:val="22"/>
    </w:rPr>
  </w:style>
  <w:style w:type="character" w:customStyle="1" w:styleId="105">
    <w:name w:val="正文文本缩进 字符"/>
    <w:link w:val="12"/>
    <w:qFormat/>
    <w:uiPriority w:val="0"/>
    <w:rPr>
      <w:rFonts w:eastAsia="仿宋_GB2312"/>
      <w:kern w:val="2"/>
      <w:sz w:val="30"/>
      <w:szCs w:val="24"/>
    </w:rPr>
  </w:style>
  <w:style w:type="character" w:customStyle="1" w:styleId="106">
    <w:name w:val="正文文本缩进 2 字符"/>
    <w:link w:val="17"/>
    <w:qFormat/>
    <w:uiPriority w:val="0"/>
    <w:rPr>
      <w:rFonts w:eastAsia="仿宋_GB2312"/>
      <w:kern w:val="2"/>
      <w:sz w:val="30"/>
      <w:szCs w:val="24"/>
    </w:rPr>
  </w:style>
  <w:style w:type="character" w:customStyle="1" w:styleId="107">
    <w:name w:val="文档结构图 Char"/>
    <w:qFormat/>
    <w:uiPriority w:val="0"/>
    <w:rPr>
      <w:rFonts w:ascii="宋体"/>
      <w:kern w:val="2"/>
      <w:sz w:val="18"/>
      <w:szCs w:val="18"/>
    </w:rPr>
  </w:style>
  <w:style w:type="character" w:customStyle="1" w:styleId="108">
    <w:name w:val="标题 1 Char"/>
    <w:qFormat/>
    <w:uiPriority w:val="9"/>
    <w:rPr>
      <w:rFonts w:eastAsia="黑体"/>
      <w:b/>
      <w:bCs/>
      <w:kern w:val="44"/>
      <w:sz w:val="36"/>
      <w:szCs w:val="44"/>
    </w:rPr>
  </w:style>
  <w:style w:type="character" w:customStyle="1" w:styleId="109">
    <w:name w:val="页眉 Char"/>
    <w:qFormat/>
    <w:uiPriority w:val="0"/>
    <w:rPr>
      <w:kern w:val="2"/>
      <w:sz w:val="18"/>
      <w:szCs w:val="18"/>
    </w:rPr>
  </w:style>
  <w:style w:type="character" w:customStyle="1" w:styleId="110">
    <w:name w:val="style3"/>
    <w:basedOn w:val="33"/>
    <w:qFormat/>
    <w:uiPriority w:val="0"/>
  </w:style>
  <w:style w:type="character" w:customStyle="1" w:styleId="111">
    <w:name w:val="apple-converted-space"/>
    <w:basedOn w:val="33"/>
    <w:qFormat/>
    <w:uiPriority w:val="0"/>
  </w:style>
  <w:style w:type="character" w:customStyle="1" w:styleId="112">
    <w:name w:val="明显引用 字符"/>
    <w:link w:val="84"/>
    <w:qFormat/>
    <w:uiPriority w:val="30"/>
    <w:rPr>
      <w:rFonts w:eastAsia="仿宋"/>
      <w:i/>
      <w:iCs/>
      <w:color w:val="5B9BD5"/>
      <w:kern w:val="2"/>
      <w:sz w:val="32"/>
      <w:szCs w:val="24"/>
    </w:rPr>
  </w:style>
  <w:style w:type="paragraph" w:customStyle="1" w:styleId="113">
    <w:name w:val="正文1"/>
    <w:qFormat/>
    <w:uiPriority w:val="0"/>
    <w:pPr>
      <w:jc w:val="both"/>
    </w:pPr>
    <w:rPr>
      <w:rFonts w:ascii="Calibri" w:hAnsi="Calibri" w:eastAsia="宋体" w:cs="宋体"/>
      <w:kern w:val="2"/>
      <w:sz w:val="21"/>
      <w:szCs w:val="21"/>
      <w:lang w:val="en-US" w:eastAsia="zh-CN" w:bidi="ar-SA"/>
    </w:rPr>
  </w:style>
  <w:style w:type="paragraph" w:customStyle="1" w:styleId="114">
    <w:name w:val="正文2"/>
    <w:qFormat/>
    <w:uiPriority w:val="0"/>
    <w:pPr>
      <w:jc w:val="both"/>
    </w:pPr>
    <w:rPr>
      <w:rFonts w:ascii="Times New Roman" w:hAnsi="Times New Roman" w:eastAsia="宋体" w:cs="Times New Roman"/>
      <w:kern w:val="2"/>
      <w:sz w:val="21"/>
      <w:szCs w:val="21"/>
      <w:lang w:val="en-US" w:eastAsia="zh-CN" w:bidi="ar-SA"/>
    </w:rPr>
  </w:style>
  <w:style w:type="paragraph" w:customStyle="1" w:styleId="115">
    <w:name w:val="Revision"/>
    <w:hidden/>
    <w:semiHidden/>
    <w:qFormat/>
    <w:uiPriority w:val="99"/>
    <w:rPr>
      <w:rFonts w:ascii="仿宋" w:hAnsi="仿宋" w:eastAsia="仿宋" w:cs="Times New Roman"/>
      <w:kern w:val="2"/>
      <w:sz w:val="32"/>
      <w:szCs w:val="24"/>
      <w:lang w:val="en-US" w:eastAsia="zh-CN" w:bidi="ar-SA"/>
    </w:rPr>
  </w:style>
  <w:style w:type="paragraph" w:customStyle="1" w:styleId="116">
    <w:name w:val="正文3"/>
    <w:qFormat/>
    <w:uiPriority w:val="0"/>
    <w:pPr>
      <w:jc w:val="both"/>
    </w:pPr>
    <w:rPr>
      <w:rFonts w:ascii="Times New Roman" w:hAnsi="Times New Roman" w:eastAsia="宋体" w:cs="Times New Roman"/>
      <w:kern w:val="2"/>
      <w:sz w:val="21"/>
      <w:szCs w:val="21"/>
      <w:lang w:val="en-US" w:eastAsia="zh-CN" w:bidi="ar-SA"/>
    </w:rPr>
  </w:style>
  <w:style w:type="paragraph" w:styleId="117">
    <w:name w:val="List Paragraph"/>
    <w:basedOn w:val="1"/>
    <w:qFormat/>
    <w:uiPriority w:val="34"/>
    <w:pPr>
      <w:ind w:firstLine="420"/>
    </w:pPr>
    <w:rPr>
      <w:rFonts w:ascii="宋体" w:hAnsi="宋体"/>
    </w:rPr>
  </w:style>
  <w:style w:type="table" w:customStyle="1" w:styleId="118">
    <w:name w:val="Table Normal"/>
    <w:semiHidden/>
    <w:unhideWhenUsed/>
    <w:qFormat/>
    <w:uiPriority w:val="2"/>
    <w:pPr>
      <w:widowControl w:val="0"/>
    </w:pPr>
    <w:rPr>
      <w:sz w:val="22"/>
      <w:szCs w:val="22"/>
      <w:lang w:eastAsia="en-US"/>
    </w:rPr>
    <w:tblPr>
      <w:tblCellMar>
        <w:top w:w="0" w:type="dxa"/>
        <w:left w:w="0" w:type="dxa"/>
        <w:bottom w:w="0" w:type="dxa"/>
        <w:right w:w="0" w:type="dxa"/>
      </w:tblCellMar>
    </w:tblPr>
  </w:style>
  <w:style w:type="paragraph" w:customStyle="1" w:styleId="119">
    <w:name w:val="标题行"/>
    <w:basedOn w:val="24"/>
    <w:next w:val="24"/>
    <w:qFormat/>
    <w:uiPriority w:val="0"/>
    <w:pPr>
      <w:shd w:val="clear" w:color="auto" w:fill="FFFF66"/>
      <w:jc w:val="center"/>
    </w:pPr>
    <w:rPr>
      <w:kern w:val="0"/>
    </w:rPr>
  </w:style>
  <w:style w:type="character" w:customStyle="1" w:styleId="120">
    <w:name w:val="正文缩进 字符"/>
    <w:link w:val="7"/>
    <w:qFormat/>
    <w:uiPriority w:val="0"/>
    <w:rPr>
      <w:kern w:val="2"/>
      <w:sz w:val="28"/>
      <w:szCs w:val="24"/>
    </w:rPr>
  </w:style>
  <w:style w:type="character" w:customStyle="1" w:styleId="121">
    <w:name w:val="font61"/>
    <w:qFormat/>
    <w:uiPriority w:val="0"/>
    <w:rPr>
      <w:rFonts w:hint="eastAsia" w:ascii="宋体" w:hAnsi="宋体" w:eastAsia="宋体" w:cs="宋体"/>
      <w:b/>
      <w:color w:val="auto"/>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emf"/><Relationship Id="rId15" Type="http://schemas.openxmlformats.org/officeDocument/2006/relationships/oleObject" Target="embeddings/oleObject1.bin"/><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4097" textRotate="1"/>
    <customShpInfo spid="_x0000_s410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CNOOC</Company>
  <Pages>207</Pages>
  <Words>13361</Words>
  <Characters>76164</Characters>
  <Lines>634</Lines>
  <Paragraphs>178</Paragraphs>
  <TotalTime>6</TotalTime>
  <ScaleCrop>false</ScaleCrop>
  <LinksUpToDate>false</LinksUpToDate>
  <CharactersWithSpaces>89347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2020-04-07T14:04:00Z</dcterms:created>
  <dc:creator>zy</dc:creator>
  <cp:lastModifiedBy>uos</cp:lastModifiedBy>
  <cp:lastPrinted>2020-11-13T00:15:00Z</cp:lastPrinted>
  <dcterms:modified xsi:type="dcterms:W3CDTF">2021-12-14T16:02:42Z</dcterms:modified>
  <dc:title>海南省生产安全事故灾难应急预案</dc:title>
  <cp:revision>1344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