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b/>
          <w:sz w:val="48"/>
          <w:szCs w:val="48"/>
        </w:rPr>
      </w:pPr>
    </w:p>
    <w:p>
      <w:pPr>
        <w:ind w:firstLine="0" w:firstLineChars="0"/>
        <w:jc w:val="center"/>
        <w:rPr>
          <w:rFonts w:ascii="黑体" w:hAnsi="黑体" w:eastAsia="黑体"/>
          <w:b/>
          <w:sz w:val="48"/>
          <w:szCs w:val="48"/>
        </w:rPr>
      </w:pPr>
      <w:r>
        <w:rPr>
          <w:rFonts w:hint="eastAsia" w:ascii="黑体" w:hAnsi="黑体" w:eastAsia="黑体"/>
          <w:b/>
          <w:sz w:val="48"/>
          <w:szCs w:val="48"/>
        </w:rPr>
        <w:t>海南省非煤矿山生产安全</w:t>
      </w:r>
    </w:p>
    <w:p>
      <w:pPr>
        <w:ind w:firstLine="0" w:firstLineChars="0"/>
        <w:jc w:val="center"/>
        <w:rPr>
          <w:rFonts w:ascii="黑体" w:hAnsi="黑体" w:eastAsia="黑体"/>
          <w:b/>
          <w:sz w:val="48"/>
          <w:szCs w:val="48"/>
        </w:rPr>
      </w:pPr>
      <w:r>
        <w:rPr>
          <w:rFonts w:hint="eastAsia" w:ascii="黑体" w:hAnsi="黑体" w:eastAsia="黑体"/>
          <w:b/>
          <w:sz w:val="48"/>
          <w:szCs w:val="48"/>
        </w:rPr>
        <w:t>事故应急预案</w:t>
      </w:r>
    </w:p>
    <w:p>
      <w:pPr>
        <w:jc w:val="center"/>
      </w:pPr>
    </w:p>
    <w:p>
      <w:pPr>
        <w:ind w:firstLine="0" w:firstLineChars="0"/>
        <w:jc w:val="center"/>
        <w:rPr>
          <w:del w:id="0" w:author="Administrator" w:date="2022-01-25T17:35:25Z"/>
          <w:rFonts w:ascii="楷体" w:hAnsi="楷体" w:eastAsia="楷体"/>
          <w:sz w:val="36"/>
          <w:szCs w:val="36"/>
        </w:rPr>
      </w:pPr>
      <w:del w:id="1" w:author="Administrator" w:date="2022-01-25T17:35:25Z">
        <w:r>
          <w:rPr>
            <w:rFonts w:hint="eastAsia" w:ascii="楷体" w:hAnsi="楷体" w:eastAsia="楷体"/>
            <w:sz w:val="36"/>
            <w:szCs w:val="36"/>
          </w:rPr>
          <w:delText xml:space="preserve"> （2</w:delText>
        </w:r>
      </w:del>
      <w:del w:id="2" w:author="Administrator" w:date="2022-01-25T17:35:25Z">
        <w:r>
          <w:rPr>
            <w:rFonts w:ascii="楷体" w:hAnsi="楷体" w:eastAsia="楷体"/>
            <w:sz w:val="36"/>
            <w:szCs w:val="36"/>
          </w:rPr>
          <w:delText>02</w:delText>
        </w:r>
      </w:del>
      <w:del w:id="3" w:author="Administrator" w:date="2022-01-25T17:35:25Z">
        <w:r>
          <w:rPr>
            <w:rFonts w:hint="eastAsia" w:ascii="楷体" w:hAnsi="楷体" w:eastAsia="楷体"/>
            <w:sz w:val="36"/>
            <w:szCs w:val="36"/>
          </w:rPr>
          <w:delText>0年修订）</w:delText>
        </w:r>
      </w:del>
    </w:p>
    <w:p>
      <w:pPr>
        <w:ind w:firstLine="3520" w:firstLineChars="1100"/>
        <w:rPr>
          <w:ins w:id="4" w:author="Administrator" w:date="2022-01-25T17:35:25Z"/>
        </w:rPr>
      </w:pPr>
    </w:p>
    <w:p>
      <w:pPr>
        <w:ind w:firstLine="3520" w:firstLineChars="1100"/>
      </w:pPr>
      <w:bookmarkStart w:id="67" w:name="_GoBack"/>
      <w:bookmarkEnd w:id="67"/>
    </w:p>
    <w:p/>
    <w:p/>
    <w:p/>
    <w:p/>
    <w:p/>
    <w:p/>
    <w:p/>
    <w:p/>
    <w:p/>
    <w:p/>
    <w:p/>
    <w:p>
      <w:pPr>
        <w:ind w:firstLine="0" w:firstLineChars="0"/>
        <w:jc w:val="center"/>
        <w:rPr>
          <w:b/>
        </w:rPr>
      </w:pPr>
      <w:r>
        <w:rPr>
          <w:rFonts w:hint="eastAsia"/>
          <w:b/>
        </w:rPr>
        <w:t>省安全生产委员会办公室</w:t>
      </w:r>
    </w:p>
    <w:p>
      <w:pPr>
        <w:ind w:firstLine="0" w:firstLineChars="0"/>
        <w:jc w:val="center"/>
        <w:rPr>
          <w:rFonts w:ascii="楷体" w:hAnsi="楷体" w:eastAsia="楷体"/>
        </w:rPr>
      </w:pPr>
      <w:r>
        <w:rPr>
          <w:rFonts w:hint="eastAsia" w:ascii="楷体" w:hAnsi="楷体" w:eastAsia="楷体"/>
          <w:bCs/>
        </w:rPr>
        <w:t>二0二一</w:t>
      </w:r>
      <w:r>
        <w:rPr>
          <w:rFonts w:ascii="楷体" w:hAnsi="楷体" w:eastAsia="楷体"/>
          <w:bCs/>
        </w:rPr>
        <w:t>年</w:t>
      </w:r>
      <w:r>
        <w:rPr>
          <w:rFonts w:hint="eastAsia" w:ascii="楷体" w:hAnsi="楷体" w:eastAsia="楷体"/>
          <w:bCs/>
        </w:rPr>
        <w:t>十二</w:t>
      </w:r>
      <w:r>
        <w:rPr>
          <w:rFonts w:ascii="楷体" w:hAnsi="楷体" w:eastAsia="楷体"/>
          <w:bCs/>
        </w:rPr>
        <w:t>月</w:t>
      </w:r>
    </w:p>
    <w:p/>
    <w:p>
      <w:pPr>
        <w:sectPr>
          <w:headerReference r:id="rId5" w:type="default"/>
          <w:footerReference r:id="rId6" w:type="default"/>
          <w:pgSz w:w="11906" w:h="16838"/>
          <w:pgMar w:top="1701" w:right="1474" w:bottom="1134" w:left="1588" w:header="851" w:footer="992" w:gutter="0"/>
          <w:pgNumType w:fmt="numberInDash"/>
          <w:cols w:space="425" w:num="1"/>
          <w:docGrid w:type="linesAndChars" w:linePitch="312" w:charSpace="0"/>
        </w:sectPr>
      </w:pPr>
    </w:p>
    <w:tbl>
      <w:tblPr>
        <w:tblStyle w:val="3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093"/>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47" w:type="dxa"/>
            <w:gridSpan w:val="3"/>
            <w:tcBorders>
              <w:top w:val="thickThinSmallGap" w:color="auto" w:sz="24" w:space="0"/>
              <w:left w:val="thickThinSmallGap" w:color="auto" w:sz="24" w:space="0"/>
              <w:bottom w:val="single" w:color="auto" w:sz="4" w:space="0"/>
              <w:right w:val="thinThickSmallGap" w:color="auto" w:sz="24" w:space="0"/>
            </w:tcBorders>
            <w:vAlign w:val="center"/>
          </w:tcPr>
          <w:p>
            <w:pPr>
              <w:spacing w:line="240" w:lineRule="auto"/>
              <w:ind w:firstLine="0" w:firstLineChars="0"/>
              <w:jc w:val="center"/>
              <w:rPr>
                <w:b/>
                <w:sz w:val="21"/>
                <w:szCs w:val="21"/>
              </w:rPr>
            </w:pPr>
            <w:r>
              <w:rPr>
                <w:rFonts w:hint="eastAsia"/>
                <w:b/>
                <w:sz w:val="21"/>
                <w:szCs w:val="21"/>
              </w:rPr>
              <w:t>海南省部门（单位）简称（只适用于本预案）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b/>
                <w:sz w:val="21"/>
                <w:szCs w:val="21"/>
              </w:rPr>
            </w:pPr>
            <w:r>
              <w:rPr>
                <w:rFonts w:hint="eastAsia"/>
                <w:b/>
                <w:sz w:val="21"/>
                <w:szCs w:val="21"/>
              </w:rPr>
              <w:t>序号</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sz w:val="21"/>
                <w:szCs w:val="21"/>
              </w:rPr>
            </w:pPr>
            <w:r>
              <w:rPr>
                <w:rFonts w:hint="eastAsia"/>
                <w:b/>
                <w:sz w:val="21"/>
                <w:szCs w:val="21"/>
              </w:rPr>
              <w:t>部门（单位）名称</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jc w:val="center"/>
              <w:rPr>
                <w:b/>
                <w:sz w:val="21"/>
                <w:szCs w:val="21"/>
              </w:rPr>
            </w:pPr>
            <w:r>
              <w:rPr>
                <w:rFonts w:hint="eastAsia"/>
                <w:b/>
                <w:sz w:val="21"/>
                <w:szCs w:val="21"/>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海南省人民政府办公厅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省人民政府办公厅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中共海南省委宣传部</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中共海南省委网络安全和信息化委员会办公室部门</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4</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海南省发展和改革委员会</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海南省旅游和文化广电体育厅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省旅文厅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6</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海南省农业农村厅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7</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海南省工业和信息化厅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省工信厅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8</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海南省财政厅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9</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海南省人力资源和社会保障厅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10</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海南省教育厅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11</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海南省卫生健康委员会</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12</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海南省公安厅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13</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海南省司法厅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14</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海南省自然资源和规划厅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省资规厅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15</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海南省生态环境厅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16</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海南省住房和城乡建设厅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17</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海南省交通运输厅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18</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海南省商务厅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19</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海南省科学技术厅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20</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海南省民政厅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21</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海南省水务厅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省水务厅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22</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海南省应急管理厅</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23</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海南省林业局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24</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w:t>
            </w:r>
            <w:r>
              <w:rPr>
                <w:rFonts w:hint="eastAsia"/>
                <w:sz w:val="21"/>
                <w:szCs w:val="21"/>
                <w:lang w:eastAsia="zh-CN"/>
              </w:rPr>
              <w:t>政府</w:t>
            </w:r>
            <w:r>
              <w:rPr>
                <w:rFonts w:hint="eastAsia"/>
                <w:sz w:val="21"/>
                <w:szCs w:val="21"/>
              </w:rPr>
              <w:t>国有资产监督管理委员会</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25</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海南省市场监督管理局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26</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海南省气象局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27</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海南省地震局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28</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中华人民共和国海南海事局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海南海事局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29</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中国民用航空海南安全监督管理局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民航海南安监局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30</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海南省通信管理局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省通管局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31</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海南省大数据管理局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32</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海南省邮政管理局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33</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中国银行保险监督管理委员会海南监管局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海南银保监局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34</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海南省总工会</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35</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中国人民武装警察部队海南省总队</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武警海南总队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36</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海南省消防救援总队</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37</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中华人民共和国海口海关</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海口海关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38</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南方能监局海南业务办公室</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南方能监局海南业务办公室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39</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广州铁路监督管理局</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广州铁路监督管理局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thickThinSmallGap" w:color="auto" w:sz="2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40</w:t>
            </w:r>
          </w:p>
        </w:tc>
        <w:tc>
          <w:tcPr>
            <w:tcW w:w="5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海南电网有限责任公司</w:t>
            </w:r>
          </w:p>
        </w:tc>
        <w:tc>
          <w:tcPr>
            <w:tcW w:w="2882" w:type="dxa"/>
            <w:tcBorders>
              <w:top w:val="single" w:color="auto" w:sz="4" w:space="0"/>
              <w:left w:val="single" w:color="auto" w:sz="4" w:space="0"/>
              <w:bottom w:val="single" w:color="auto" w:sz="4" w:space="0"/>
              <w:right w:val="thinThickSmallGap" w:color="auto" w:sz="24" w:space="0"/>
            </w:tcBorders>
            <w:vAlign w:val="center"/>
          </w:tcPr>
          <w:p>
            <w:pPr>
              <w:spacing w:line="240" w:lineRule="auto"/>
              <w:ind w:firstLine="0" w:firstLineChars="0"/>
              <w:rPr>
                <w:sz w:val="21"/>
                <w:szCs w:val="21"/>
              </w:rPr>
            </w:pPr>
            <w:r>
              <w:rPr>
                <w:rFonts w:hint="eastAsia"/>
                <w:sz w:val="21"/>
                <w:szCs w:val="21"/>
              </w:rPr>
              <w:t>海南电网公司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72" w:type="dxa"/>
            <w:tcBorders>
              <w:top w:val="single" w:color="auto" w:sz="4" w:space="0"/>
              <w:left w:val="thickThinSmallGap" w:color="auto" w:sz="24" w:space="0"/>
              <w:bottom w:val="thinThickSmallGap" w:color="auto" w:sz="24" w:space="0"/>
              <w:right w:val="single" w:color="auto" w:sz="4" w:space="0"/>
            </w:tcBorders>
            <w:vAlign w:val="center"/>
          </w:tcPr>
          <w:p>
            <w:pPr>
              <w:spacing w:line="240" w:lineRule="auto"/>
              <w:ind w:firstLine="0" w:firstLineChars="0"/>
              <w:jc w:val="center"/>
              <w:rPr>
                <w:sz w:val="21"/>
                <w:szCs w:val="21"/>
              </w:rPr>
            </w:pPr>
            <w:r>
              <w:rPr>
                <w:rFonts w:hint="eastAsia"/>
                <w:sz w:val="21"/>
                <w:szCs w:val="21"/>
              </w:rPr>
              <w:t>41</w:t>
            </w:r>
          </w:p>
        </w:tc>
        <w:tc>
          <w:tcPr>
            <w:tcW w:w="5093" w:type="dxa"/>
            <w:tcBorders>
              <w:top w:val="single" w:color="auto" w:sz="4" w:space="0"/>
              <w:left w:val="single" w:color="auto" w:sz="4" w:space="0"/>
              <w:bottom w:val="thinThickSmallGap" w:color="auto" w:sz="24" w:space="0"/>
              <w:right w:val="single" w:color="auto" w:sz="4" w:space="0"/>
            </w:tcBorders>
            <w:vAlign w:val="center"/>
          </w:tcPr>
          <w:p>
            <w:pPr>
              <w:spacing w:line="240" w:lineRule="auto"/>
              <w:ind w:firstLine="0" w:firstLineChars="0"/>
              <w:rPr>
                <w:sz w:val="21"/>
                <w:szCs w:val="21"/>
              </w:rPr>
            </w:pPr>
            <w:r>
              <w:rPr>
                <w:rFonts w:hint="eastAsia"/>
                <w:sz w:val="21"/>
                <w:szCs w:val="21"/>
              </w:rPr>
              <w:t>海南铁路有限公司</w:t>
            </w:r>
          </w:p>
        </w:tc>
        <w:tc>
          <w:tcPr>
            <w:tcW w:w="2882" w:type="dxa"/>
            <w:tcBorders>
              <w:top w:val="single" w:color="auto" w:sz="4" w:space="0"/>
              <w:left w:val="single" w:color="auto" w:sz="4" w:space="0"/>
              <w:bottom w:val="thinThickSmallGap" w:color="auto" w:sz="24" w:space="0"/>
              <w:right w:val="thinThickSmallGap" w:color="auto" w:sz="24" w:space="0"/>
            </w:tcBorders>
            <w:vAlign w:val="center"/>
          </w:tcPr>
          <w:p>
            <w:pPr>
              <w:spacing w:line="240" w:lineRule="auto"/>
              <w:ind w:firstLine="0" w:firstLineChars="0"/>
              <w:rPr>
                <w:sz w:val="21"/>
                <w:szCs w:val="21"/>
              </w:rPr>
            </w:pPr>
            <w:r>
              <w:rPr>
                <w:rFonts w:hint="eastAsia"/>
                <w:sz w:val="21"/>
                <w:szCs w:val="21"/>
              </w:rPr>
              <w:t>海南铁路有限公司</w:t>
            </w:r>
          </w:p>
        </w:tc>
      </w:tr>
    </w:tbl>
    <w:p>
      <w:pPr>
        <w:ind w:firstLine="0" w:firstLineChars="0"/>
        <w:sectPr>
          <w:headerReference r:id="rId7" w:type="default"/>
          <w:pgSz w:w="11906" w:h="16838"/>
          <w:pgMar w:top="720" w:right="720" w:bottom="720" w:left="720" w:header="0" w:footer="0" w:gutter="0"/>
          <w:pgNumType w:fmt="numberInDash"/>
          <w:cols w:space="425" w:num="1"/>
          <w:docGrid w:type="linesAndChars" w:linePitch="326" w:charSpace="0"/>
        </w:sectPr>
      </w:pPr>
    </w:p>
    <w:p>
      <w:pPr>
        <w:pStyle w:val="45"/>
        <w:jc w:val="center"/>
        <w:rPr>
          <w:color w:val="auto"/>
        </w:rPr>
      </w:pPr>
      <w:r>
        <w:rPr>
          <w:rFonts w:hint="eastAsia"/>
          <w:color w:val="auto"/>
          <w:lang w:val="zh-CN"/>
        </w:rPr>
        <w:t>目</w:t>
      </w:r>
      <w:r>
        <w:rPr>
          <w:color w:val="auto"/>
          <w:lang w:val="zh-CN"/>
        </w:rPr>
        <w:t xml:space="preserve">  </w:t>
      </w:r>
      <w:r>
        <w:rPr>
          <w:rFonts w:hint="eastAsia"/>
          <w:color w:val="auto"/>
          <w:lang w:val="zh-CN"/>
        </w:rPr>
        <w:t>录</w:t>
      </w:r>
    </w:p>
    <w:p>
      <w:pPr>
        <w:pStyle w:val="22"/>
        <w:tabs>
          <w:tab w:val="right" w:leader="dot" w:pos="8834"/>
        </w:tabs>
        <w:spacing w:line="360" w:lineRule="auto"/>
        <w:ind w:firstLine="0" w:firstLineChars="0"/>
        <w:rPr>
          <w:rFonts w:ascii="仿宋" w:hAnsi="仿宋"/>
          <w:b w:val="0"/>
          <w:bCs w:val="0"/>
          <w:caps w:val="0"/>
          <w:sz w:val="28"/>
          <w:szCs w:val="28"/>
        </w:rPr>
      </w:pPr>
      <w:r>
        <w:rPr>
          <w:rFonts w:ascii="黑体" w:hAnsi="黑体" w:eastAsia="黑体"/>
          <w:b w:val="0"/>
          <w:bCs w:val="0"/>
          <w:caps w:val="0"/>
          <w:sz w:val="30"/>
          <w:szCs w:val="30"/>
        </w:rPr>
        <w:fldChar w:fldCharType="begin"/>
      </w:r>
      <w:r>
        <w:rPr>
          <w:rFonts w:ascii="黑体" w:hAnsi="黑体" w:eastAsia="黑体"/>
          <w:b w:val="0"/>
          <w:bCs w:val="0"/>
          <w:caps w:val="0"/>
          <w:sz w:val="30"/>
          <w:szCs w:val="30"/>
        </w:rPr>
        <w:instrText xml:space="preserve"> TOC \o "1-4" \h \z \u </w:instrText>
      </w:r>
      <w:r>
        <w:rPr>
          <w:rFonts w:ascii="黑体" w:hAnsi="黑体" w:eastAsia="黑体"/>
          <w:b w:val="0"/>
          <w:bCs w:val="0"/>
          <w:caps w:val="0"/>
          <w:sz w:val="30"/>
          <w:szCs w:val="30"/>
        </w:rPr>
        <w:fldChar w:fldCharType="separate"/>
      </w:r>
      <w:r>
        <w:fldChar w:fldCharType="begin"/>
      </w:r>
      <w:r>
        <w:instrText xml:space="preserve"> HYPERLINK \l "_Toc88998101" </w:instrText>
      </w:r>
      <w:r>
        <w:fldChar w:fldCharType="separate"/>
      </w:r>
      <w:r>
        <w:rPr>
          <w:rStyle w:val="38"/>
          <w:rFonts w:ascii="仿宋" w:hAnsi="仿宋"/>
          <w:sz w:val="28"/>
          <w:szCs w:val="28"/>
        </w:rPr>
        <w:t>1 总  则</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_Toc88998101 \h </w:instrText>
      </w:r>
      <w:r>
        <w:rPr>
          <w:rFonts w:ascii="仿宋" w:hAnsi="仿宋"/>
          <w:sz w:val="28"/>
          <w:szCs w:val="28"/>
        </w:rPr>
        <w:fldChar w:fldCharType="separate"/>
      </w:r>
      <w:r>
        <w:rPr>
          <w:rFonts w:ascii="仿宋" w:hAnsi="仿宋"/>
          <w:sz w:val="28"/>
          <w:szCs w:val="28"/>
        </w:rPr>
        <w:t>- 1 -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"_Toc88998102" </w:instrText>
      </w:r>
      <w:r>
        <w:fldChar w:fldCharType="separate"/>
      </w:r>
      <w:r>
        <w:rPr>
          <w:rStyle w:val="38"/>
          <w:rFonts w:ascii="仿宋" w:hAnsi="仿宋"/>
          <w:sz w:val="28"/>
          <w:szCs w:val="28"/>
        </w:rPr>
        <w:t>1.1 编制目的</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_Toc88998102 \h </w:instrText>
      </w:r>
      <w:r>
        <w:rPr>
          <w:rFonts w:ascii="仿宋" w:hAnsi="仿宋"/>
          <w:sz w:val="28"/>
          <w:szCs w:val="28"/>
        </w:rPr>
        <w:fldChar w:fldCharType="separate"/>
      </w:r>
      <w:r>
        <w:rPr>
          <w:rFonts w:ascii="仿宋" w:hAnsi="仿宋"/>
          <w:sz w:val="28"/>
          <w:szCs w:val="28"/>
        </w:rPr>
        <w:t>- 1 -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"_Toc88998103" </w:instrText>
      </w:r>
      <w:r>
        <w:fldChar w:fldCharType="separate"/>
      </w:r>
      <w:r>
        <w:rPr>
          <w:rStyle w:val="38"/>
          <w:rFonts w:ascii="仿宋" w:hAnsi="仿宋"/>
          <w:sz w:val="28"/>
          <w:szCs w:val="28"/>
        </w:rPr>
        <w:t>1.2 工作原则</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_Toc88998103 \h </w:instrText>
      </w:r>
      <w:r>
        <w:rPr>
          <w:rFonts w:ascii="仿宋" w:hAnsi="仿宋"/>
          <w:sz w:val="28"/>
          <w:szCs w:val="28"/>
        </w:rPr>
        <w:fldChar w:fldCharType="separate"/>
      </w:r>
      <w:r>
        <w:rPr>
          <w:rFonts w:ascii="仿宋" w:hAnsi="仿宋"/>
          <w:sz w:val="28"/>
          <w:szCs w:val="28"/>
        </w:rPr>
        <w:t>- 1 -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"_Toc88998104" </w:instrText>
      </w:r>
      <w:r>
        <w:fldChar w:fldCharType="separate"/>
      </w:r>
      <w:r>
        <w:rPr>
          <w:rStyle w:val="38"/>
          <w:rFonts w:ascii="仿宋" w:hAnsi="仿宋"/>
          <w:sz w:val="28"/>
          <w:szCs w:val="28"/>
        </w:rPr>
        <w:t>1.3 编制依据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_Toc88998104 \h </w:instrText>
      </w:r>
      <w:r>
        <w:rPr>
          <w:rFonts w:ascii="仿宋" w:hAnsi="仿宋"/>
          <w:sz w:val="28"/>
          <w:szCs w:val="28"/>
        </w:rPr>
        <w:fldChar w:fldCharType="separate"/>
      </w:r>
      <w:r>
        <w:rPr>
          <w:rFonts w:ascii="仿宋" w:hAnsi="仿宋"/>
          <w:sz w:val="28"/>
          <w:szCs w:val="28"/>
        </w:rPr>
        <w:t>- 2 -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"_Toc88998105" </w:instrText>
      </w:r>
      <w:r>
        <w:fldChar w:fldCharType="separate"/>
      </w:r>
      <w:r>
        <w:rPr>
          <w:rStyle w:val="38"/>
          <w:rFonts w:ascii="仿宋" w:hAnsi="仿宋"/>
          <w:sz w:val="28"/>
          <w:szCs w:val="28"/>
        </w:rPr>
        <w:t>1.4 适用范围</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_Toc88998105 \h </w:instrText>
      </w:r>
      <w:r>
        <w:rPr>
          <w:rFonts w:ascii="仿宋" w:hAnsi="仿宋"/>
          <w:sz w:val="28"/>
          <w:szCs w:val="28"/>
        </w:rPr>
        <w:fldChar w:fldCharType="separate"/>
      </w:r>
      <w:r>
        <w:rPr>
          <w:rFonts w:ascii="仿宋" w:hAnsi="仿宋"/>
          <w:sz w:val="28"/>
          <w:szCs w:val="28"/>
        </w:rPr>
        <w:t>- 3 -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"_Toc88998106" </w:instrText>
      </w:r>
      <w:r>
        <w:fldChar w:fldCharType="separate"/>
      </w:r>
      <w:r>
        <w:rPr>
          <w:rStyle w:val="38"/>
          <w:rFonts w:ascii="仿宋" w:hAnsi="仿宋"/>
          <w:sz w:val="28"/>
          <w:szCs w:val="28"/>
        </w:rPr>
        <w:t>2 危险性分析</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_Toc88998106 \h </w:instrText>
      </w:r>
      <w:r>
        <w:rPr>
          <w:rFonts w:ascii="仿宋" w:hAnsi="仿宋"/>
          <w:sz w:val="28"/>
          <w:szCs w:val="28"/>
        </w:rPr>
        <w:fldChar w:fldCharType="separate"/>
      </w:r>
      <w:r>
        <w:rPr>
          <w:rFonts w:ascii="仿宋" w:hAnsi="仿宋"/>
          <w:sz w:val="28"/>
          <w:szCs w:val="28"/>
        </w:rPr>
        <w:t>- 4 -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"_Toc88998107" </w:instrText>
      </w:r>
      <w:r>
        <w:fldChar w:fldCharType="separate"/>
      </w:r>
      <w:r>
        <w:rPr>
          <w:rStyle w:val="38"/>
          <w:rFonts w:ascii="仿宋" w:hAnsi="仿宋"/>
          <w:sz w:val="28"/>
          <w:szCs w:val="28"/>
        </w:rPr>
        <w:t>2.1 基本现状</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_Toc88998107 \h </w:instrText>
      </w:r>
      <w:r>
        <w:rPr>
          <w:rFonts w:ascii="仿宋" w:hAnsi="仿宋"/>
          <w:sz w:val="28"/>
          <w:szCs w:val="28"/>
        </w:rPr>
        <w:fldChar w:fldCharType="separate"/>
      </w:r>
      <w:r>
        <w:rPr>
          <w:rFonts w:ascii="仿宋" w:hAnsi="仿宋"/>
          <w:sz w:val="28"/>
          <w:szCs w:val="28"/>
        </w:rPr>
        <w:t>- 4 -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"_Toc88998108" </w:instrText>
      </w:r>
      <w:r>
        <w:fldChar w:fldCharType="separate"/>
      </w:r>
      <w:r>
        <w:rPr>
          <w:rStyle w:val="38"/>
          <w:rFonts w:ascii="仿宋" w:hAnsi="仿宋"/>
          <w:sz w:val="28"/>
          <w:szCs w:val="28"/>
        </w:rPr>
        <w:t>2.2 风险分析</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_Toc88998108 \h </w:instrText>
      </w:r>
      <w:r>
        <w:rPr>
          <w:rFonts w:ascii="仿宋" w:hAnsi="仿宋"/>
          <w:sz w:val="28"/>
          <w:szCs w:val="28"/>
        </w:rPr>
        <w:fldChar w:fldCharType="separate"/>
      </w:r>
      <w:r>
        <w:rPr>
          <w:rFonts w:ascii="仿宋" w:hAnsi="仿宋"/>
          <w:sz w:val="28"/>
          <w:szCs w:val="28"/>
        </w:rPr>
        <w:t>- 4 -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"_Toc88998109" </w:instrText>
      </w:r>
      <w:r>
        <w:fldChar w:fldCharType="separate"/>
      </w:r>
      <w:r>
        <w:rPr>
          <w:rStyle w:val="38"/>
          <w:rFonts w:ascii="仿宋" w:hAnsi="仿宋"/>
          <w:sz w:val="28"/>
          <w:szCs w:val="28"/>
        </w:rPr>
        <w:t>3 组织体系及职责</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_Toc88998109 \h </w:instrText>
      </w:r>
      <w:r>
        <w:rPr>
          <w:rFonts w:ascii="仿宋" w:hAnsi="仿宋"/>
          <w:sz w:val="28"/>
          <w:szCs w:val="28"/>
        </w:rPr>
        <w:fldChar w:fldCharType="separate"/>
      </w:r>
      <w:r>
        <w:rPr>
          <w:rFonts w:ascii="仿宋" w:hAnsi="仿宋"/>
          <w:sz w:val="28"/>
          <w:szCs w:val="28"/>
        </w:rPr>
        <w:t>- 6 -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"_Toc88998110" </w:instrText>
      </w:r>
      <w:r>
        <w:fldChar w:fldCharType="separate"/>
      </w:r>
      <w:r>
        <w:rPr>
          <w:rStyle w:val="38"/>
          <w:rFonts w:ascii="仿宋" w:hAnsi="仿宋"/>
          <w:sz w:val="28"/>
          <w:szCs w:val="28"/>
        </w:rPr>
        <w:t>3.1 应急组织机构</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_Toc88998110 \h </w:instrText>
      </w:r>
      <w:r>
        <w:rPr>
          <w:rFonts w:ascii="仿宋" w:hAnsi="仿宋"/>
          <w:sz w:val="28"/>
          <w:szCs w:val="28"/>
        </w:rPr>
        <w:fldChar w:fldCharType="separate"/>
      </w:r>
      <w:r>
        <w:rPr>
          <w:rFonts w:ascii="仿宋" w:hAnsi="仿宋"/>
          <w:sz w:val="28"/>
          <w:szCs w:val="28"/>
        </w:rPr>
        <w:t>- 6 -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"_Toc88998111" </w:instrText>
      </w:r>
      <w:r>
        <w:fldChar w:fldCharType="separate"/>
      </w:r>
      <w:r>
        <w:rPr>
          <w:rStyle w:val="38"/>
          <w:rFonts w:ascii="仿宋" w:hAnsi="仿宋"/>
          <w:sz w:val="28"/>
          <w:szCs w:val="28"/>
        </w:rPr>
        <w:t>3.2 省指挥部</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_Toc88998111 \h </w:instrText>
      </w:r>
      <w:r>
        <w:rPr>
          <w:rFonts w:ascii="仿宋" w:hAnsi="仿宋"/>
          <w:sz w:val="28"/>
          <w:szCs w:val="28"/>
        </w:rPr>
        <w:fldChar w:fldCharType="separate"/>
      </w:r>
      <w:r>
        <w:rPr>
          <w:rFonts w:ascii="仿宋" w:hAnsi="仿宋"/>
          <w:sz w:val="28"/>
          <w:szCs w:val="28"/>
        </w:rPr>
        <w:t>- 8 -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"_Toc88998112" </w:instrText>
      </w:r>
      <w:r>
        <w:fldChar w:fldCharType="separate"/>
      </w:r>
      <w:r>
        <w:rPr>
          <w:rStyle w:val="38"/>
          <w:rFonts w:ascii="仿宋" w:hAnsi="仿宋"/>
          <w:sz w:val="28"/>
          <w:szCs w:val="28"/>
        </w:rPr>
        <w:t>3.3 现场指挥部</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_Toc88998112 \h </w:instrText>
      </w:r>
      <w:r>
        <w:rPr>
          <w:rFonts w:ascii="仿宋" w:hAnsi="仿宋"/>
          <w:sz w:val="28"/>
          <w:szCs w:val="28"/>
        </w:rPr>
        <w:fldChar w:fldCharType="separate"/>
      </w:r>
      <w:r>
        <w:rPr>
          <w:rFonts w:ascii="仿宋" w:hAnsi="仿宋"/>
          <w:sz w:val="28"/>
          <w:szCs w:val="28"/>
        </w:rPr>
        <w:t>- 9 -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"_Toc88998113" </w:instrText>
      </w:r>
      <w:r>
        <w:fldChar w:fldCharType="separate"/>
      </w:r>
      <w:r>
        <w:rPr>
          <w:rStyle w:val="38"/>
          <w:rFonts w:ascii="仿宋" w:hAnsi="仿宋"/>
          <w:sz w:val="28"/>
          <w:szCs w:val="28"/>
        </w:rPr>
        <w:t>3.4 部门职责</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_Toc88998113 \h </w:instrText>
      </w:r>
      <w:r>
        <w:rPr>
          <w:rFonts w:ascii="仿宋" w:hAnsi="仿宋"/>
          <w:sz w:val="28"/>
          <w:szCs w:val="28"/>
        </w:rPr>
        <w:fldChar w:fldCharType="separate"/>
      </w:r>
      <w:r>
        <w:rPr>
          <w:rFonts w:ascii="仿宋" w:hAnsi="仿宋"/>
          <w:sz w:val="28"/>
          <w:szCs w:val="28"/>
        </w:rPr>
        <w:t>- 13 -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"_Toc88998114" </w:instrText>
      </w:r>
      <w:r>
        <w:fldChar w:fldCharType="separate"/>
      </w:r>
      <w:r>
        <w:rPr>
          <w:rStyle w:val="38"/>
          <w:rFonts w:ascii="仿宋" w:hAnsi="仿宋"/>
          <w:sz w:val="28"/>
          <w:szCs w:val="28"/>
        </w:rPr>
        <w:t>3.5 专家及职责</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_Toc88998114 \h </w:instrText>
      </w:r>
      <w:r>
        <w:rPr>
          <w:rFonts w:ascii="仿宋" w:hAnsi="仿宋"/>
          <w:sz w:val="28"/>
          <w:szCs w:val="28"/>
        </w:rPr>
        <w:fldChar w:fldCharType="separate"/>
      </w:r>
      <w:r>
        <w:rPr>
          <w:rFonts w:ascii="仿宋" w:hAnsi="仿宋"/>
          <w:sz w:val="28"/>
          <w:szCs w:val="28"/>
        </w:rPr>
        <w:t>- 13 -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"_Toc88998115" </w:instrText>
      </w:r>
      <w:r>
        <w:fldChar w:fldCharType="separate"/>
      </w:r>
      <w:r>
        <w:rPr>
          <w:rStyle w:val="38"/>
          <w:rFonts w:ascii="仿宋" w:hAnsi="仿宋"/>
          <w:sz w:val="28"/>
          <w:szCs w:val="28"/>
        </w:rPr>
        <w:t>4 预警与信息报告</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_Toc88998115 \h </w:instrText>
      </w:r>
      <w:r>
        <w:rPr>
          <w:rFonts w:ascii="仿宋" w:hAnsi="仿宋"/>
          <w:sz w:val="28"/>
          <w:szCs w:val="28"/>
        </w:rPr>
        <w:fldChar w:fldCharType="separate"/>
      </w:r>
      <w:r>
        <w:rPr>
          <w:rFonts w:ascii="仿宋" w:hAnsi="仿宋"/>
          <w:sz w:val="28"/>
          <w:szCs w:val="28"/>
        </w:rPr>
        <w:t>- 13 -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"_Toc88998116" </w:instrText>
      </w:r>
      <w:r>
        <w:fldChar w:fldCharType="separate"/>
      </w:r>
      <w:r>
        <w:rPr>
          <w:rStyle w:val="38"/>
          <w:rFonts w:ascii="仿宋" w:hAnsi="仿宋"/>
          <w:sz w:val="28"/>
          <w:szCs w:val="28"/>
        </w:rPr>
        <w:t>4.1 监测</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_Toc88998116 \h </w:instrText>
      </w:r>
      <w:r>
        <w:rPr>
          <w:rFonts w:ascii="仿宋" w:hAnsi="仿宋"/>
          <w:sz w:val="28"/>
          <w:szCs w:val="28"/>
        </w:rPr>
        <w:fldChar w:fldCharType="separate"/>
      </w:r>
      <w:r>
        <w:rPr>
          <w:rFonts w:ascii="仿宋" w:hAnsi="仿宋"/>
          <w:sz w:val="28"/>
          <w:szCs w:val="28"/>
        </w:rPr>
        <w:t>- 13 -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"_Toc88998117" </w:instrText>
      </w:r>
      <w:r>
        <w:fldChar w:fldCharType="separate"/>
      </w:r>
      <w:r>
        <w:rPr>
          <w:rStyle w:val="38"/>
          <w:rFonts w:ascii="仿宋" w:hAnsi="仿宋"/>
          <w:sz w:val="28"/>
          <w:szCs w:val="28"/>
        </w:rPr>
        <w:t>4.2 预警</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_Toc88998117 \h </w:instrText>
      </w:r>
      <w:r>
        <w:rPr>
          <w:rFonts w:ascii="仿宋" w:hAnsi="仿宋"/>
          <w:sz w:val="28"/>
          <w:szCs w:val="28"/>
        </w:rPr>
        <w:fldChar w:fldCharType="separate"/>
      </w:r>
      <w:r>
        <w:rPr>
          <w:rFonts w:ascii="仿宋" w:hAnsi="仿宋"/>
          <w:sz w:val="28"/>
          <w:szCs w:val="28"/>
        </w:rPr>
        <w:t>- 14 -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"_Toc88998118" </w:instrText>
      </w:r>
      <w:r>
        <w:fldChar w:fldCharType="separate"/>
      </w:r>
      <w:r>
        <w:rPr>
          <w:rStyle w:val="38"/>
          <w:rFonts w:ascii="仿宋" w:hAnsi="仿宋"/>
          <w:sz w:val="28"/>
          <w:szCs w:val="28"/>
        </w:rPr>
        <w:t>4.3 信息上报</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_Toc88998118 \h </w:instrText>
      </w:r>
      <w:r>
        <w:rPr>
          <w:rFonts w:ascii="仿宋" w:hAnsi="仿宋"/>
          <w:sz w:val="28"/>
          <w:szCs w:val="28"/>
        </w:rPr>
        <w:fldChar w:fldCharType="separate"/>
      </w:r>
      <w:r>
        <w:rPr>
          <w:rFonts w:ascii="仿宋" w:hAnsi="仿宋"/>
          <w:sz w:val="28"/>
          <w:szCs w:val="28"/>
        </w:rPr>
        <w:t>- 14 -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"_Toc88998119" </w:instrText>
      </w:r>
      <w:r>
        <w:fldChar w:fldCharType="separate"/>
      </w:r>
      <w:r>
        <w:rPr>
          <w:rStyle w:val="38"/>
          <w:rFonts w:ascii="仿宋" w:hAnsi="仿宋"/>
          <w:sz w:val="28"/>
          <w:szCs w:val="28"/>
        </w:rPr>
        <w:t>5 响应程序</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_Toc88998119 \h </w:instrText>
      </w:r>
      <w:r>
        <w:rPr>
          <w:rFonts w:ascii="仿宋" w:hAnsi="仿宋"/>
          <w:sz w:val="28"/>
          <w:szCs w:val="28"/>
        </w:rPr>
        <w:fldChar w:fldCharType="separate"/>
      </w:r>
      <w:r>
        <w:rPr>
          <w:rFonts w:ascii="仿宋" w:hAnsi="仿宋"/>
          <w:sz w:val="28"/>
          <w:szCs w:val="28"/>
        </w:rPr>
        <w:t>- 15 -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"_Toc88998120" </w:instrText>
      </w:r>
      <w:r>
        <w:fldChar w:fldCharType="separate"/>
      </w:r>
      <w:r>
        <w:rPr>
          <w:rStyle w:val="38"/>
          <w:rFonts w:ascii="仿宋" w:hAnsi="仿宋"/>
          <w:sz w:val="28"/>
          <w:szCs w:val="28"/>
        </w:rPr>
        <w:t>5.1 事故分级</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_Toc88998120 \h </w:instrText>
      </w:r>
      <w:r>
        <w:rPr>
          <w:rFonts w:ascii="仿宋" w:hAnsi="仿宋"/>
          <w:sz w:val="28"/>
          <w:szCs w:val="28"/>
        </w:rPr>
        <w:fldChar w:fldCharType="separate"/>
      </w:r>
      <w:r>
        <w:rPr>
          <w:rFonts w:ascii="仿宋" w:hAnsi="仿宋"/>
          <w:sz w:val="28"/>
          <w:szCs w:val="28"/>
        </w:rPr>
        <w:t>- 15 -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"_Toc88998121" </w:instrText>
      </w:r>
      <w:r>
        <w:fldChar w:fldCharType="separate"/>
      </w:r>
      <w:r>
        <w:rPr>
          <w:rStyle w:val="38"/>
          <w:rFonts w:ascii="仿宋" w:hAnsi="仿宋"/>
          <w:sz w:val="28"/>
          <w:szCs w:val="28"/>
        </w:rPr>
        <w:t>5.2 响应分级</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_Toc88998121 \h </w:instrText>
      </w:r>
      <w:r>
        <w:rPr>
          <w:rFonts w:ascii="仿宋" w:hAnsi="仿宋"/>
          <w:sz w:val="28"/>
          <w:szCs w:val="28"/>
        </w:rPr>
        <w:fldChar w:fldCharType="separate"/>
      </w:r>
      <w:r>
        <w:rPr>
          <w:rFonts w:ascii="仿宋" w:hAnsi="仿宋"/>
          <w:sz w:val="28"/>
          <w:szCs w:val="28"/>
        </w:rPr>
        <w:t>- 16 -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"_Toc88998122" </w:instrText>
      </w:r>
      <w:r>
        <w:fldChar w:fldCharType="separate"/>
      </w:r>
      <w:r>
        <w:rPr>
          <w:rStyle w:val="38"/>
          <w:rFonts w:ascii="仿宋" w:hAnsi="仿宋"/>
          <w:sz w:val="28"/>
          <w:szCs w:val="28"/>
        </w:rPr>
        <w:t>5.3 应急处置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_Toc88998122 \h </w:instrText>
      </w:r>
      <w:r>
        <w:rPr>
          <w:rFonts w:ascii="仿宋" w:hAnsi="仿宋"/>
          <w:sz w:val="28"/>
          <w:szCs w:val="28"/>
        </w:rPr>
        <w:fldChar w:fldCharType="separate"/>
      </w:r>
      <w:r>
        <w:rPr>
          <w:rFonts w:ascii="仿宋" w:hAnsi="仿宋"/>
          <w:sz w:val="28"/>
          <w:szCs w:val="28"/>
        </w:rPr>
        <w:t>- 16 -</w:t>
      </w:r>
      <w:r>
        <w:rPr>
          <w:rFonts w:ascii="仿宋" w:hAnsi="仿宋"/>
          <w:sz w:val="28"/>
          <w:szCs w:val="28"/>
        </w:rPr>
        <w:fldChar w:fldCharType="end"/>
      </w:r>
      <w:r>
        <w:rPr>
          <w:rFonts w:ascii="仿宋" w:hAnsi="仿宋"/>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"_Toc88998123" </w:instrText>
      </w:r>
      <w:r>
        <w:fldChar w:fldCharType="separate"/>
      </w:r>
      <w:r>
        <w:rPr>
          <w:rStyle w:val="38"/>
          <w:rFonts w:ascii="仿宋" w:hAnsi="仿宋"/>
          <w:i w:val="0"/>
          <w:sz w:val="28"/>
          <w:szCs w:val="28"/>
        </w:rPr>
        <w:t>5.3.1 生产经营单位应急处置</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_Toc88998123 \h </w:instrText>
      </w:r>
      <w:r>
        <w:rPr>
          <w:rFonts w:ascii="仿宋" w:hAnsi="仿宋"/>
          <w:i w:val="0"/>
          <w:sz w:val="28"/>
          <w:szCs w:val="28"/>
        </w:rPr>
        <w:fldChar w:fldCharType="separate"/>
      </w:r>
      <w:r>
        <w:rPr>
          <w:rFonts w:ascii="仿宋" w:hAnsi="仿宋"/>
          <w:i w:val="0"/>
          <w:sz w:val="28"/>
          <w:szCs w:val="28"/>
        </w:rPr>
        <w:t>- 16 -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"_Toc88998124" </w:instrText>
      </w:r>
      <w:r>
        <w:fldChar w:fldCharType="separate"/>
      </w:r>
      <w:r>
        <w:rPr>
          <w:rStyle w:val="38"/>
          <w:rFonts w:ascii="仿宋" w:hAnsi="仿宋"/>
          <w:i w:val="0"/>
          <w:sz w:val="28"/>
          <w:szCs w:val="28"/>
        </w:rPr>
        <w:t>5.3.2 市县人民政府、洋浦经济开发区管委会应急处置</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_Toc88998124 \h </w:instrText>
      </w:r>
      <w:r>
        <w:rPr>
          <w:rFonts w:ascii="仿宋" w:hAnsi="仿宋"/>
          <w:i w:val="0"/>
          <w:sz w:val="28"/>
          <w:szCs w:val="28"/>
        </w:rPr>
        <w:fldChar w:fldCharType="separate"/>
      </w:r>
      <w:r>
        <w:rPr>
          <w:rFonts w:ascii="仿宋" w:hAnsi="仿宋"/>
          <w:i w:val="0"/>
          <w:sz w:val="28"/>
          <w:szCs w:val="28"/>
        </w:rPr>
        <w:t>- 17 -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"_Toc88998125" </w:instrText>
      </w:r>
      <w:r>
        <w:fldChar w:fldCharType="separate"/>
      </w:r>
      <w:r>
        <w:rPr>
          <w:rStyle w:val="38"/>
          <w:rFonts w:ascii="仿宋" w:hAnsi="仿宋"/>
          <w:i w:val="0"/>
          <w:sz w:val="28"/>
          <w:szCs w:val="28"/>
        </w:rPr>
        <w:t>5.3.3 省级应急处置</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_Toc88998125 \h </w:instrText>
      </w:r>
      <w:r>
        <w:rPr>
          <w:rFonts w:ascii="仿宋" w:hAnsi="仿宋"/>
          <w:i w:val="0"/>
          <w:sz w:val="28"/>
          <w:szCs w:val="28"/>
        </w:rPr>
        <w:fldChar w:fldCharType="separate"/>
      </w:r>
      <w:r>
        <w:rPr>
          <w:rFonts w:ascii="仿宋" w:hAnsi="仿宋"/>
          <w:i w:val="0"/>
          <w:sz w:val="28"/>
          <w:szCs w:val="28"/>
        </w:rPr>
        <w:t>- 17 -</w:t>
      </w:r>
      <w:r>
        <w:rPr>
          <w:rFonts w:ascii="仿宋" w:hAnsi="仿宋"/>
          <w:i w:val="0"/>
          <w:sz w:val="28"/>
          <w:szCs w:val="28"/>
        </w:rPr>
        <w:fldChar w:fldCharType="end"/>
      </w:r>
      <w:r>
        <w:rPr>
          <w:rFonts w:ascii="仿宋" w:hAnsi="仿宋"/>
          <w:i w:val="0"/>
          <w:sz w:val="28"/>
          <w:szCs w:val="28"/>
        </w:rPr>
        <w:fldChar w:fldCharType="end"/>
      </w:r>
    </w:p>
    <w:p>
      <w:pPr>
        <w:pStyle w:val="23"/>
        <w:tabs>
          <w:tab w:val="right" w:leader="dot" w:pos="8834"/>
        </w:tabs>
        <w:spacing w:line="360" w:lineRule="auto"/>
        <w:ind w:firstLine="0" w:firstLineChars="0"/>
        <w:rPr>
          <w:rFonts w:ascii="仿宋" w:hAnsi="仿宋"/>
          <w:sz w:val="28"/>
          <w:szCs w:val="28"/>
        </w:rPr>
      </w:pPr>
      <w:r>
        <w:fldChar w:fldCharType="begin"/>
      </w:r>
      <w:r>
        <w:instrText xml:space="preserve"> HYPERLINK \l "_Toc88998126" </w:instrText>
      </w:r>
      <w:r>
        <w:fldChar w:fldCharType="separate"/>
      </w:r>
      <w:r>
        <w:rPr>
          <w:rStyle w:val="38"/>
          <w:rFonts w:ascii="仿宋" w:hAnsi="仿宋"/>
          <w:sz w:val="28"/>
          <w:szCs w:val="28"/>
        </w:rPr>
        <w:t>5.3.3.1 接警</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_Toc88998126 \h </w:instrText>
      </w:r>
      <w:r>
        <w:rPr>
          <w:rFonts w:ascii="仿宋" w:hAnsi="仿宋"/>
          <w:sz w:val="28"/>
          <w:szCs w:val="28"/>
        </w:rPr>
        <w:fldChar w:fldCharType="separate"/>
      </w:r>
      <w:r>
        <w:rPr>
          <w:rFonts w:ascii="仿宋" w:hAnsi="仿宋"/>
          <w:sz w:val="28"/>
          <w:szCs w:val="28"/>
        </w:rPr>
        <w:t>- 17 -</w:t>
      </w:r>
      <w:r>
        <w:rPr>
          <w:rFonts w:ascii="仿宋" w:hAnsi="仿宋"/>
          <w:sz w:val="28"/>
          <w:szCs w:val="28"/>
        </w:rPr>
        <w:fldChar w:fldCharType="end"/>
      </w:r>
      <w:r>
        <w:rPr>
          <w:rFonts w:ascii="仿宋" w:hAnsi="仿宋"/>
          <w:sz w:val="28"/>
          <w:szCs w:val="28"/>
        </w:rPr>
        <w:fldChar w:fldCharType="end"/>
      </w:r>
    </w:p>
    <w:p>
      <w:pPr>
        <w:pStyle w:val="23"/>
        <w:tabs>
          <w:tab w:val="right" w:leader="dot" w:pos="8834"/>
        </w:tabs>
        <w:spacing w:line="360" w:lineRule="auto"/>
        <w:ind w:firstLine="0" w:firstLineChars="0"/>
        <w:rPr>
          <w:rFonts w:ascii="仿宋" w:hAnsi="仿宋"/>
          <w:sz w:val="28"/>
          <w:szCs w:val="28"/>
        </w:rPr>
      </w:pPr>
      <w:r>
        <w:fldChar w:fldCharType="begin"/>
      </w:r>
      <w:r>
        <w:instrText xml:space="preserve"> HYPERLINK \l "_Toc88998127" </w:instrText>
      </w:r>
      <w:r>
        <w:fldChar w:fldCharType="separate"/>
      </w:r>
      <w:r>
        <w:rPr>
          <w:rStyle w:val="38"/>
          <w:rFonts w:ascii="仿宋" w:hAnsi="仿宋"/>
          <w:sz w:val="28"/>
          <w:szCs w:val="28"/>
        </w:rPr>
        <w:t>5.3.3.2 事故处置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_Toc88998127 \h </w:instrText>
      </w:r>
      <w:r>
        <w:rPr>
          <w:rFonts w:ascii="仿宋" w:hAnsi="仿宋"/>
          <w:sz w:val="28"/>
          <w:szCs w:val="28"/>
        </w:rPr>
        <w:fldChar w:fldCharType="separate"/>
      </w:r>
      <w:r>
        <w:rPr>
          <w:rFonts w:ascii="仿宋" w:hAnsi="仿宋"/>
          <w:sz w:val="28"/>
          <w:szCs w:val="28"/>
        </w:rPr>
        <w:t>- 17 -</w:t>
      </w:r>
      <w:r>
        <w:rPr>
          <w:rFonts w:ascii="仿宋" w:hAnsi="仿宋"/>
          <w:sz w:val="28"/>
          <w:szCs w:val="28"/>
        </w:rPr>
        <w:fldChar w:fldCharType="end"/>
      </w:r>
      <w:r>
        <w:rPr>
          <w:rFonts w:ascii="仿宋" w:hAnsi="仿宋"/>
          <w:sz w:val="28"/>
          <w:szCs w:val="28"/>
        </w:rPr>
        <w:fldChar w:fldCharType="end"/>
      </w:r>
    </w:p>
    <w:p>
      <w:pPr>
        <w:pStyle w:val="23"/>
        <w:tabs>
          <w:tab w:val="right" w:leader="dot" w:pos="8834"/>
        </w:tabs>
        <w:spacing w:line="360" w:lineRule="auto"/>
        <w:ind w:firstLine="0" w:firstLineChars="0"/>
        <w:rPr>
          <w:rFonts w:ascii="仿宋" w:hAnsi="仿宋"/>
          <w:sz w:val="28"/>
          <w:szCs w:val="28"/>
        </w:rPr>
      </w:pPr>
      <w:r>
        <w:fldChar w:fldCharType="begin"/>
      </w:r>
      <w:r>
        <w:instrText xml:space="preserve"> HYPERLINK \l "_Toc88998128" </w:instrText>
      </w:r>
      <w:r>
        <w:fldChar w:fldCharType="separate"/>
      </w:r>
      <w:r>
        <w:rPr>
          <w:rStyle w:val="38"/>
          <w:rFonts w:ascii="仿宋" w:hAnsi="仿宋"/>
          <w:sz w:val="28"/>
          <w:szCs w:val="28"/>
        </w:rPr>
        <w:t>5.3.3.3 响应升级</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_Toc88998128 \h </w:instrText>
      </w:r>
      <w:r>
        <w:rPr>
          <w:rFonts w:ascii="仿宋" w:hAnsi="仿宋"/>
          <w:sz w:val="28"/>
          <w:szCs w:val="28"/>
        </w:rPr>
        <w:fldChar w:fldCharType="separate"/>
      </w:r>
      <w:r>
        <w:rPr>
          <w:rFonts w:ascii="仿宋" w:hAnsi="仿宋"/>
          <w:sz w:val="28"/>
          <w:szCs w:val="28"/>
        </w:rPr>
        <w:t>- 19 -</w:t>
      </w:r>
      <w:r>
        <w:rPr>
          <w:rFonts w:ascii="仿宋" w:hAnsi="仿宋"/>
          <w:sz w:val="28"/>
          <w:szCs w:val="28"/>
        </w:rPr>
        <w:fldChar w:fldCharType="end"/>
      </w:r>
      <w:r>
        <w:rPr>
          <w:rFonts w:ascii="仿宋" w:hAnsi="仿宋"/>
          <w:sz w:val="28"/>
          <w:szCs w:val="28"/>
        </w:rPr>
        <w:fldChar w:fldCharType="end"/>
      </w:r>
    </w:p>
    <w:p>
      <w:pPr>
        <w:pStyle w:val="23"/>
        <w:tabs>
          <w:tab w:val="right" w:leader="dot" w:pos="8834"/>
        </w:tabs>
        <w:spacing w:line="360" w:lineRule="auto"/>
        <w:ind w:firstLine="0" w:firstLineChars="0"/>
        <w:rPr>
          <w:rFonts w:ascii="仿宋" w:hAnsi="仿宋"/>
          <w:sz w:val="28"/>
          <w:szCs w:val="28"/>
        </w:rPr>
      </w:pPr>
      <w:r>
        <w:fldChar w:fldCharType="begin"/>
      </w:r>
      <w:r>
        <w:instrText xml:space="preserve"> HYPERLINK \l "_Toc88998129" </w:instrText>
      </w:r>
      <w:r>
        <w:fldChar w:fldCharType="separate"/>
      </w:r>
      <w:r>
        <w:rPr>
          <w:rStyle w:val="38"/>
          <w:rFonts w:ascii="仿宋" w:hAnsi="仿宋"/>
          <w:sz w:val="28"/>
          <w:szCs w:val="28"/>
        </w:rPr>
        <w:t>5.3.3.4 信息发布</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_Toc88998129 \h </w:instrText>
      </w:r>
      <w:r>
        <w:rPr>
          <w:rFonts w:ascii="仿宋" w:hAnsi="仿宋"/>
          <w:sz w:val="28"/>
          <w:szCs w:val="28"/>
        </w:rPr>
        <w:fldChar w:fldCharType="separate"/>
      </w:r>
      <w:r>
        <w:rPr>
          <w:rFonts w:ascii="仿宋" w:hAnsi="仿宋"/>
          <w:sz w:val="28"/>
          <w:szCs w:val="28"/>
        </w:rPr>
        <w:t>- 19 -</w:t>
      </w:r>
      <w:r>
        <w:rPr>
          <w:rFonts w:ascii="仿宋" w:hAnsi="仿宋"/>
          <w:sz w:val="28"/>
          <w:szCs w:val="28"/>
        </w:rPr>
        <w:fldChar w:fldCharType="end"/>
      </w:r>
      <w:r>
        <w:rPr>
          <w:rFonts w:ascii="仿宋" w:hAnsi="仿宋"/>
          <w:sz w:val="28"/>
          <w:szCs w:val="28"/>
        </w:rPr>
        <w:fldChar w:fldCharType="end"/>
      </w:r>
    </w:p>
    <w:p>
      <w:pPr>
        <w:pStyle w:val="23"/>
        <w:tabs>
          <w:tab w:val="right" w:leader="dot" w:pos="8834"/>
        </w:tabs>
        <w:spacing w:line="360" w:lineRule="auto"/>
        <w:ind w:firstLine="0" w:firstLineChars="0"/>
        <w:rPr>
          <w:rFonts w:ascii="仿宋" w:hAnsi="仿宋"/>
          <w:sz w:val="28"/>
          <w:szCs w:val="28"/>
        </w:rPr>
      </w:pPr>
      <w:r>
        <w:fldChar w:fldCharType="begin"/>
      </w:r>
      <w:r>
        <w:instrText xml:space="preserve"> HYPERLINK \l "_Toc88998130" </w:instrText>
      </w:r>
      <w:r>
        <w:fldChar w:fldCharType="separate"/>
      </w:r>
      <w:r>
        <w:rPr>
          <w:rStyle w:val="38"/>
          <w:rFonts w:ascii="仿宋" w:hAnsi="仿宋"/>
          <w:sz w:val="28"/>
          <w:szCs w:val="28"/>
        </w:rPr>
        <w:t>5.3.3.5 响应降级及结束</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_Toc88998130 \h </w:instrText>
      </w:r>
      <w:r>
        <w:rPr>
          <w:rFonts w:ascii="仿宋" w:hAnsi="仿宋"/>
          <w:sz w:val="28"/>
          <w:szCs w:val="28"/>
        </w:rPr>
        <w:fldChar w:fldCharType="separate"/>
      </w:r>
      <w:r>
        <w:rPr>
          <w:rFonts w:ascii="仿宋" w:hAnsi="仿宋"/>
          <w:sz w:val="28"/>
          <w:szCs w:val="28"/>
        </w:rPr>
        <w:t>- 19 -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"_Toc88998131" </w:instrText>
      </w:r>
      <w:r>
        <w:fldChar w:fldCharType="separate"/>
      </w:r>
      <w:r>
        <w:rPr>
          <w:rStyle w:val="38"/>
          <w:rFonts w:ascii="仿宋" w:hAnsi="仿宋"/>
          <w:sz w:val="28"/>
          <w:szCs w:val="28"/>
        </w:rPr>
        <w:t>6 善后工作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_Toc88998131 \h </w:instrText>
      </w:r>
      <w:r>
        <w:rPr>
          <w:rFonts w:ascii="仿宋" w:hAnsi="仿宋"/>
          <w:sz w:val="28"/>
          <w:szCs w:val="28"/>
        </w:rPr>
        <w:fldChar w:fldCharType="separate"/>
      </w:r>
      <w:r>
        <w:rPr>
          <w:rFonts w:ascii="仿宋" w:hAnsi="仿宋"/>
          <w:sz w:val="28"/>
          <w:szCs w:val="28"/>
        </w:rPr>
        <w:t>- 20 -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"_Toc88998132" </w:instrText>
      </w:r>
      <w:r>
        <w:fldChar w:fldCharType="separate"/>
      </w:r>
      <w:r>
        <w:rPr>
          <w:rStyle w:val="38"/>
          <w:rFonts w:ascii="仿宋" w:hAnsi="仿宋"/>
          <w:sz w:val="28"/>
          <w:szCs w:val="28"/>
        </w:rPr>
        <w:t>6.1 善后处置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_Toc88998132 \h </w:instrText>
      </w:r>
      <w:r>
        <w:rPr>
          <w:rFonts w:ascii="仿宋" w:hAnsi="仿宋"/>
          <w:sz w:val="28"/>
          <w:szCs w:val="28"/>
        </w:rPr>
        <w:fldChar w:fldCharType="separate"/>
      </w:r>
      <w:r>
        <w:rPr>
          <w:rFonts w:ascii="仿宋" w:hAnsi="仿宋"/>
          <w:sz w:val="28"/>
          <w:szCs w:val="28"/>
        </w:rPr>
        <w:t>- 20 -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"_Toc88998133" </w:instrText>
      </w:r>
      <w:r>
        <w:fldChar w:fldCharType="separate"/>
      </w:r>
      <w:r>
        <w:rPr>
          <w:rStyle w:val="38"/>
          <w:rFonts w:ascii="仿宋" w:hAnsi="仿宋"/>
          <w:sz w:val="28"/>
          <w:szCs w:val="28"/>
        </w:rPr>
        <w:t>6.2 事故调查</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_Toc88998133 \h </w:instrText>
      </w:r>
      <w:r>
        <w:rPr>
          <w:rFonts w:ascii="仿宋" w:hAnsi="仿宋"/>
          <w:sz w:val="28"/>
          <w:szCs w:val="28"/>
        </w:rPr>
        <w:fldChar w:fldCharType="separate"/>
      </w:r>
      <w:r>
        <w:rPr>
          <w:rFonts w:ascii="仿宋" w:hAnsi="仿宋"/>
          <w:sz w:val="28"/>
          <w:szCs w:val="28"/>
        </w:rPr>
        <w:t>- 20 -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"_Toc88998134" </w:instrText>
      </w:r>
      <w:r>
        <w:fldChar w:fldCharType="separate"/>
      </w:r>
      <w:r>
        <w:rPr>
          <w:rStyle w:val="38"/>
          <w:rFonts w:ascii="仿宋" w:hAnsi="仿宋"/>
          <w:sz w:val="28"/>
          <w:szCs w:val="28"/>
        </w:rPr>
        <w:t>6.3 总结评估</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_Toc88998134 \h </w:instrText>
      </w:r>
      <w:r>
        <w:rPr>
          <w:rFonts w:ascii="仿宋" w:hAnsi="仿宋"/>
          <w:sz w:val="28"/>
          <w:szCs w:val="28"/>
        </w:rPr>
        <w:fldChar w:fldCharType="separate"/>
      </w:r>
      <w:r>
        <w:rPr>
          <w:rFonts w:ascii="仿宋" w:hAnsi="仿宋"/>
          <w:sz w:val="28"/>
          <w:szCs w:val="28"/>
        </w:rPr>
        <w:t>- 21 -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"_Toc88998135" </w:instrText>
      </w:r>
      <w:r>
        <w:fldChar w:fldCharType="separate"/>
      </w:r>
      <w:r>
        <w:rPr>
          <w:rStyle w:val="38"/>
          <w:rFonts w:ascii="仿宋" w:hAnsi="仿宋"/>
          <w:sz w:val="28"/>
          <w:szCs w:val="28"/>
        </w:rPr>
        <w:t>7 应急保障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_Toc88998135 \h </w:instrText>
      </w:r>
      <w:r>
        <w:rPr>
          <w:rFonts w:ascii="仿宋" w:hAnsi="仿宋"/>
          <w:sz w:val="28"/>
          <w:szCs w:val="28"/>
        </w:rPr>
        <w:fldChar w:fldCharType="separate"/>
      </w:r>
      <w:r>
        <w:rPr>
          <w:rFonts w:ascii="仿宋" w:hAnsi="仿宋"/>
          <w:sz w:val="28"/>
          <w:szCs w:val="28"/>
        </w:rPr>
        <w:t>- 21 -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"_Toc88998136" </w:instrText>
      </w:r>
      <w:r>
        <w:fldChar w:fldCharType="separate"/>
      </w:r>
      <w:r>
        <w:rPr>
          <w:rStyle w:val="38"/>
          <w:rFonts w:ascii="仿宋" w:hAnsi="仿宋"/>
          <w:sz w:val="28"/>
          <w:szCs w:val="28"/>
        </w:rPr>
        <w:t>7.1 通信与信息保障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_Toc88998136 \h </w:instrText>
      </w:r>
      <w:r>
        <w:rPr>
          <w:rFonts w:ascii="仿宋" w:hAnsi="仿宋"/>
          <w:sz w:val="28"/>
          <w:szCs w:val="28"/>
        </w:rPr>
        <w:fldChar w:fldCharType="separate"/>
      </w:r>
      <w:r>
        <w:rPr>
          <w:rFonts w:ascii="仿宋" w:hAnsi="仿宋"/>
          <w:sz w:val="28"/>
          <w:szCs w:val="28"/>
        </w:rPr>
        <w:t>- 21 -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"_Toc88998137" </w:instrText>
      </w:r>
      <w:r>
        <w:fldChar w:fldCharType="separate"/>
      </w:r>
      <w:r>
        <w:rPr>
          <w:rStyle w:val="38"/>
          <w:rFonts w:ascii="仿宋" w:hAnsi="仿宋"/>
          <w:sz w:val="28"/>
          <w:szCs w:val="28"/>
        </w:rPr>
        <w:t>7.2 应急救援队伍保障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_Toc88998137 \h </w:instrText>
      </w:r>
      <w:r>
        <w:rPr>
          <w:rFonts w:ascii="仿宋" w:hAnsi="仿宋"/>
          <w:sz w:val="28"/>
          <w:szCs w:val="28"/>
        </w:rPr>
        <w:fldChar w:fldCharType="separate"/>
      </w:r>
      <w:r>
        <w:rPr>
          <w:rFonts w:ascii="仿宋" w:hAnsi="仿宋"/>
          <w:sz w:val="28"/>
          <w:szCs w:val="28"/>
        </w:rPr>
        <w:t>- 21 -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"_Toc88998138" </w:instrText>
      </w:r>
      <w:r>
        <w:fldChar w:fldCharType="separate"/>
      </w:r>
      <w:r>
        <w:rPr>
          <w:rStyle w:val="38"/>
          <w:rFonts w:ascii="仿宋" w:hAnsi="仿宋"/>
          <w:sz w:val="28"/>
          <w:szCs w:val="28"/>
        </w:rPr>
        <w:t>7.3 应急物资装备保障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_Toc88998138 \h </w:instrText>
      </w:r>
      <w:r>
        <w:rPr>
          <w:rFonts w:ascii="仿宋" w:hAnsi="仿宋"/>
          <w:sz w:val="28"/>
          <w:szCs w:val="28"/>
        </w:rPr>
        <w:fldChar w:fldCharType="separate"/>
      </w:r>
      <w:r>
        <w:rPr>
          <w:rFonts w:ascii="仿宋" w:hAnsi="仿宋"/>
          <w:sz w:val="28"/>
          <w:szCs w:val="28"/>
        </w:rPr>
        <w:t>- 21 -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"_Toc88998139" </w:instrText>
      </w:r>
      <w:r>
        <w:fldChar w:fldCharType="separate"/>
      </w:r>
      <w:r>
        <w:rPr>
          <w:rStyle w:val="38"/>
          <w:rFonts w:ascii="仿宋" w:hAnsi="仿宋"/>
          <w:sz w:val="28"/>
          <w:szCs w:val="28"/>
        </w:rPr>
        <w:t>7.4 应急治安和交通保障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_Toc88998139 \h </w:instrText>
      </w:r>
      <w:r>
        <w:rPr>
          <w:rFonts w:ascii="仿宋" w:hAnsi="仿宋"/>
          <w:sz w:val="28"/>
          <w:szCs w:val="28"/>
        </w:rPr>
        <w:fldChar w:fldCharType="separate"/>
      </w:r>
      <w:r>
        <w:rPr>
          <w:rFonts w:ascii="仿宋" w:hAnsi="仿宋"/>
          <w:sz w:val="28"/>
          <w:szCs w:val="28"/>
        </w:rPr>
        <w:t>- 22 -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"_Toc88998140" </w:instrText>
      </w:r>
      <w:r>
        <w:fldChar w:fldCharType="separate"/>
      </w:r>
      <w:r>
        <w:rPr>
          <w:rStyle w:val="38"/>
          <w:rFonts w:ascii="仿宋" w:hAnsi="仿宋"/>
          <w:sz w:val="28"/>
          <w:szCs w:val="28"/>
        </w:rPr>
        <w:t>7.5 应急经费保障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_Toc88998140 \h </w:instrText>
      </w:r>
      <w:r>
        <w:rPr>
          <w:rFonts w:ascii="仿宋" w:hAnsi="仿宋"/>
          <w:sz w:val="28"/>
          <w:szCs w:val="28"/>
        </w:rPr>
        <w:fldChar w:fldCharType="separate"/>
      </w:r>
      <w:r>
        <w:rPr>
          <w:rFonts w:ascii="仿宋" w:hAnsi="仿宋"/>
          <w:sz w:val="28"/>
          <w:szCs w:val="28"/>
        </w:rPr>
        <w:t>- 22 -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"_Toc88998141" </w:instrText>
      </w:r>
      <w:r>
        <w:fldChar w:fldCharType="separate"/>
      </w:r>
      <w:r>
        <w:rPr>
          <w:rStyle w:val="38"/>
          <w:rFonts w:ascii="仿宋" w:hAnsi="仿宋"/>
          <w:sz w:val="28"/>
          <w:szCs w:val="28"/>
        </w:rPr>
        <w:t>7.6 应急医疗卫生保障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_Toc88998141 \h </w:instrText>
      </w:r>
      <w:r>
        <w:rPr>
          <w:rFonts w:ascii="仿宋" w:hAnsi="仿宋"/>
          <w:sz w:val="28"/>
          <w:szCs w:val="28"/>
        </w:rPr>
        <w:fldChar w:fldCharType="separate"/>
      </w:r>
      <w:r>
        <w:rPr>
          <w:rFonts w:ascii="仿宋" w:hAnsi="仿宋"/>
          <w:sz w:val="28"/>
          <w:szCs w:val="28"/>
        </w:rPr>
        <w:t>- 22 -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"_Toc88998142" </w:instrText>
      </w:r>
      <w:r>
        <w:fldChar w:fldCharType="separate"/>
      </w:r>
      <w:r>
        <w:rPr>
          <w:rStyle w:val="38"/>
          <w:rFonts w:ascii="仿宋" w:hAnsi="仿宋"/>
          <w:sz w:val="28"/>
          <w:szCs w:val="28"/>
        </w:rPr>
        <w:t>7.7 法律保障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_Toc88998142 \h </w:instrText>
      </w:r>
      <w:r>
        <w:rPr>
          <w:rFonts w:ascii="仿宋" w:hAnsi="仿宋"/>
          <w:sz w:val="28"/>
          <w:szCs w:val="28"/>
        </w:rPr>
        <w:fldChar w:fldCharType="separate"/>
      </w:r>
      <w:r>
        <w:rPr>
          <w:rFonts w:ascii="仿宋" w:hAnsi="仿宋"/>
          <w:sz w:val="28"/>
          <w:szCs w:val="28"/>
        </w:rPr>
        <w:t>- 22 -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"_Toc88998143" </w:instrText>
      </w:r>
      <w:r>
        <w:fldChar w:fldCharType="separate"/>
      </w:r>
      <w:r>
        <w:rPr>
          <w:rStyle w:val="38"/>
          <w:rFonts w:ascii="仿宋" w:hAnsi="仿宋"/>
          <w:sz w:val="28"/>
          <w:szCs w:val="28"/>
        </w:rPr>
        <w:t>7.8 应急避难场所保障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_Toc88998143 \h </w:instrText>
      </w:r>
      <w:r>
        <w:rPr>
          <w:rFonts w:ascii="仿宋" w:hAnsi="仿宋"/>
          <w:sz w:val="28"/>
          <w:szCs w:val="28"/>
        </w:rPr>
        <w:fldChar w:fldCharType="separate"/>
      </w:r>
      <w:r>
        <w:rPr>
          <w:rFonts w:ascii="仿宋" w:hAnsi="仿宋"/>
          <w:sz w:val="28"/>
          <w:szCs w:val="28"/>
        </w:rPr>
        <w:t>- 23 -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"_Toc88998144" </w:instrText>
      </w:r>
      <w:r>
        <w:fldChar w:fldCharType="separate"/>
      </w:r>
      <w:r>
        <w:rPr>
          <w:rStyle w:val="38"/>
          <w:rFonts w:ascii="仿宋" w:hAnsi="仿宋"/>
          <w:sz w:val="28"/>
          <w:szCs w:val="28"/>
        </w:rPr>
        <w:t>7.9 科技支撑保障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_Toc88998144 \h </w:instrText>
      </w:r>
      <w:r>
        <w:rPr>
          <w:rFonts w:ascii="仿宋" w:hAnsi="仿宋"/>
          <w:sz w:val="28"/>
          <w:szCs w:val="28"/>
        </w:rPr>
        <w:fldChar w:fldCharType="separate"/>
      </w:r>
      <w:r>
        <w:rPr>
          <w:rFonts w:ascii="仿宋" w:hAnsi="仿宋"/>
          <w:sz w:val="28"/>
          <w:szCs w:val="28"/>
        </w:rPr>
        <w:t>- 23 -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"_Toc88998145" </w:instrText>
      </w:r>
      <w:r>
        <w:fldChar w:fldCharType="separate"/>
      </w:r>
      <w:r>
        <w:rPr>
          <w:rStyle w:val="38"/>
          <w:rFonts w:ascii="仿宋" w:hAnsi="仿宋"/>
          <w:sz w:val="28"/>
          <w:szCs w:val="28"/>
        </w:rPr>
        <w:t>7.10 电力保障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_Toc88998145 \h </w:instrText>
      </w:r>
      <w:r>
        <w:rPr>
          <w:rFonts w:ascii="仿宋" w:hAnsi="仿宋"/>
          <w:sz w:val="28"/>
          <w:szCs w:val="28"/>
        </w:rPr>
        <w:fldChar w:fldCharType="separate"/>
      </w:r>
      <w:r>
        <w:rPr>
          <w:rFonts w:ascii="仿宋" w:hAnsi="仿宋"/>
          <w:sz w:val="28"/>
          <w:szCs w:val="28"/>
        </w:rPr>
        <w:t>- 23 -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"_Toc88998146" </w:instrText>
      </w:r>
      <w:r>
        <w:fldChar w:fldCharType="separate"/>
      </w:r>
      <w:r>
        <w:rPr>
          <w:rStyle w:val="38"/>
          <w:rFonts w:ascii="仿宋" w:hAnsi="仿宋"/>
          <w:sz w:val="28"/>
          <w:szCs w:val="28"/>
        </w:rPr>
        <w:t>7.11 保险制度</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_Toc88998146 \h </w:instrText>
      </w:r>
      <w:r>
        <w:rPr>
          <w:rFonts w:ascii="仿宋" w:hAnsi="仿宋"/>
          <w:sz w:val="28"/>
          <w:szCs w:val="28"/>
        </w:rPr>
        <w:fldChar w:fldCharType="separate"/>
      </w:r>
      <w:r>
        <w:rPr>
          <w:rFonts w:ascii="仿宋" w:hAnsi="仿宋"/>
          <w:sz w:val="28"/>
          <w:szCs w:val="28"/>
        </w:rPr>
        <w:t>- 23 -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"_Toc88998147" </w:instrText>
      </w:r>
      <w:r>
        <w:fldChar w:fldCharType="separate"/>
      </w:r>
      <w:r>
        <w:rPr>
          <w:rStyle w:val="38"/>
          <w:rFonts w:ascii="仿宋" w:hAnsi="仿宋"/>
          <w:sz w:val="28"/>
          <w:szCs w:val="28"/>
        </w:rPr>
        <w:t>8 预案管理</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_Toc88998147 \h </w:instrText>
      </w:r>
      <w:r>
        <w:rPr>
          <w:rFonts w:ascii="仿宋" w:hAnsi="仿宋"/>
          <w:sz w:val="28"/>
          <w:szCs w:val="28"/>
        </w:rPr>
        <w:fldChar w:fldCharType="separate"/>
      </w:r>
      <w:r>
        <w:rPr>
          <w:rFonts w:ascii="仿宋" w:hAnsi="仿宋"/>
          <w:sz w:val="28"/>
          <w:szCs w:val="28"/>
        </w:rPr>
        <w:t>- 24 -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"_Toc88998148" </w:instrText>
      </w:r>
      <w:r>
        <w:fldChar w:fldCharType="separate"/>
      </w:r>
      <w:r>
        <w:rPr>
          <w:rStyle w:val="38"/>
          <w:rFonts w:ascii="仿宋" w:hAnsi="仿宋"/>
          <w:sz w:val="28"/>
          <w:szCs w:val="28"/>
        </w:rPr>
        <w:t>8.1 应急演练</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_Toc88998148 \h </w:instrText>
      </w:r>
      <w:r>
        <w:rPr>
          <w:rFonts w:ascii="仿宋" w:hAnsi="仿宋"/>
          <w:sz w:val="28"/>
          <w:szCs w:val="28"/>
        </w:rPr>
        <w:fldChar w:fldCharType="separate"/>
      </w:r>
      <w:r>
        <w:rPr>
          <w:rFonts w:ascii="仿宋" w:hAnsi="仿宋"/>
          <w:sz w:val="28"/>
          <w:szCs w:val="28"/>
        </w:rPr>
        <w:t>- 24 -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"_Toc88998149" </w:instrText>
      </w:r>
      <w:r>
        <w:fldChar w:fldCharType="separate"/>
      </w:r>
      <w:r>
        <w:rPr>
          <w:rStyle w:val="38"/>
          <w:rFonts w:ascii="仿宋" w:hAnsi="仿宋"/>
          <w:sz w:val="28"/>
          <w:szCs w:val="28"/>
        </w:rPr>
        <w:t>8.2 宣传培训</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_Toc88998149 \h </w:instrText>
      </w:r>
      <w:r>
        <w:rPr>
          <w:rFonts w:ascii="仿宋" w:hAnsi="仿宋"/>
          <w:sz w:val="28"/>
          <w:szCs w:val="28"/>
        </w:rPr>
        <w:fldChar w:fldCharType="separate"/>
      </w:r>
      <w:r>
        <w:rPr>
          <w:rFonts w:ascii="仿宋" w:hAnsi="仿宋"/>
          <w:sz w:val="28"/>
          <w:szCs w:val="28"/>
        </w:rPr>
        <w:t>- 24 -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"_Toc88998150" </w:instrText>
      </w:r>
      <w:r>
        <w:fldChar w:fldCharType="separate"/>
      </w:r>
      <w:r>
        <w:rPr>
          <w:rStyle w:val="38"/>
          <w:rFonts w:ascii="仿宋" w:hAnsi="仿宋"/>
          <w:sz w:val="28"/>
          <w:szCs w:val="28"/>
        </w:rPr>
        <w:t>8.3 预案修订</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_Toc88998150 \h </w:instrText>
      </w:r>
      <w:r>
        <w:rPr>
          <w:rFonts w:ascii="仿宋" w:hAnsi="仿宋"/>
          <w:sz w:val="28"/>
          <w:szCs w:val="28"/>
        </w:rPr>
        <w:fldChar w:fldCharType="separate"/>
      </w:r>
      <w:r>
        <w:rPr>
          <w:rFonts w:ascii="仿宋" w:hAnsi="仿宋"/>
          <w:sz w:val="28"/>
          <w:szCs w:val="28"/>
        </w:rPr>
        <w:t>- 24 -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"_Toc88998151" </w:instrText>
      </w:r>
      <w:r>
        <w:fldChar w:fldCharType="separate"/>
      </w:r>
      <w:r>
        <w:rPr>
          <w:rStyle w:val="38"/>
          <w:rFonts w:ascii="仿宋" w:hAnsi="仿宋"/>
          <w:sz w:val="28"/>
          <w:szCs w:val="28"/>
        </w:rPr>
        <w:t>8.4 预案实施</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_Toc88998151 \h </w:instrText>
      </w:r>
      <w:r>
        <w:rPr>
          <w:rFonts w:ascii="仿宋" w:hAnsi="仿宋"/>
          <w:sz w:val="28"/>
          <w:szCs w:val="28"/>
        </w:rPr>
        <w:fldChar w:fldCharType="separate"/>
      </w:r>
      <w:r>
        <w:rPr>
          <w:rFonts w:ascii="仿宋" w:hAnsi="仿宋"/>
          <w:sz w:val="28"/>
          <w:szCs w:val="28"/>
        </w:rPr>
        <w:t>- 25 -</w:t>
      </w:r>
      <w:r>
        <w:rPr>
          <w:rFonts w:ascii="仿宋" w:hAnsi="仿宋"/>
          <w:sz w:val="28"/>
          <w:szCs w:val="28"/>
        </w:rPr>
        <w:fldChar w:fldCharType="end"/>
      </w:r>
      <w:r>
        <w:rPr>
          <w:rFonts w:ascii="仿宋" w:hAnsi="仿宋"/>
          <w:sz w:val="28"/>
          <w:szCs w:val="28"/>
        </w:rPr>
        <w:fldChar w:fldCharType="end"/>
      </w:r>
    </w:p>
    <w:p>
      <w:pPr>
        <w:pStyle w:val="22"/>
        <w:tabs>
          <w:tab w:val="right" w:leader="dot" w:pos="8834"/>
        </w:tabs>
        <w:spacing w:line="360" w:lineRule="auto"/>
        <w:ind w:firstLine="0" w:firstLineChars="0"/>
        <w:rPr>
          <w:rFonts w:ascii="仿宋" w:hAnsi="仿宋"/>
          <w:b w:val="0"/>
          <w:bCs w:val="0"/>
          <w:caps w:val="0"/>
          <w:sz w:val="28"/>
          <w:szCs w:val="28"/>
        </w:rPr>
      </w:pPr>
      <w:r>
        <w:fldChar w:fldCharType="begin"/>
      </w:r>
      <w:r>
        <w:instrText xml:space="preserve"> HYPERLINK \l "_Toc88998152" </w:instrText>
      </w:r>
      <w:r>
        <w:fldChar w:fldCharType="separate"/>
      </w:r>
      <w:r>
        <w:rPr>
          <w:rStyle w:val="38"/>
          <w:rFonts w:ascii="仿宋" w:hAnsi="仿宋"/>
          <w:sz w:val="28"/>
          <w:szCs w:val="28"/>
        </w:rPr>
        <w:t>9 附  则</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_Toc88998152 \h </w:instrText>
      </w:r>
      <w:r>
        <w:rPr>
          <w:rFonts w:ascii="仿宋" w:hAnsi="仿宋"/>
          <w:sz w:val="28"/>
          <w:szCs w:val="28"/>
        </w:rPr>
        <w:fldChar w:fldCharType="separate"/>
      </w:r>
      <w:r>
        <w:rPr>
          <w:rFonts w:ascii="仿宋" w:hAnsi="仿宋"/>
          <w:sz w:val="28"/>
          <w:szCs w:val="28"/>
        </w:rPr>
        <w:t>- 26 -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"_Toc88998153" </w:instrText>
      </w:r>
      <w:r>
        <w:fldChar w:fldCharType="separate"/>
      </w:r>
      <w:r>
        <w:rPr>
          <w:rStyle w:val="38"/>
          <w:rFonts w:ascii="仿宋" w:hAnsi="仿宋"/>
          <w:sz w:val="28"/>
          <w:szCs w:val="28"/>
        </w:rPr>
        <w:t>9.1 海南省非煤矿山生产安全事故部门应急职责</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_Toc88998153 \h </w:instrText>
      </w:r>
      <w:r>
        <w:rPr>
          <w:rFonts w:ascii="仿宋" w:hAnsi="仿宋"/>
          <w:sz w:val="28"/>
          <w:szCs w:val="28"/>
        </w:rPr>
        <w:fldChar w:fldCharType="separate"/>
      </w:r>
      <w:r>
        <w:rPr>
          <w:rFonts w:ascii="仿宋" w:hAnsi="仿宋"/>
          <w:sz w:val="28"/>
          <w:szCs w:val="28"/>
        </w:rPr>
        <w:t>- 26 -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"_Toc88998154" </w:instrText>
      </w:r>
      <w:r>
        <w:fldChar w:fldCharType="separate"/>
      </w:r>
      <w:r>
        <w:rPr>
          <w:rStyle w:val="38"/>
          <w:rFonts w:ascii="仿宋" w:hAnsi="仿宋"/>
          <w:sz w:val="28"/>
          <w:szCs w:val="28"/>
        </w:rPr>
        <w:t>9.2 非煤矿山预警信息发布工作要求</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_Toc88998154 \h </w:instrText>
      </w:r>
      <w:r>
        <w:rPr>
          <w:rFonts w:ascii="仿宋" w:hAnsi="仿宋"/>
          <w:sz w:val="28"/>
          <w:szCs w:val="28"/>
        </w:rPr>
        <w:fldChar w:fldCharType="separate"/>
      </w:r>
      <w:r>
        <w:rPr>
          <w:rFonts w:ascii="仿宋" w:hAnsi="仿宋"/>
          <w:sz w:val="28"/>
          <w:szCs w:val="28"/>
        </w:rPr>
        <w:t>- 30 -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"_Toc88998155" </w:instrText>
      </w:r>
      <w:r>
        <w:fldChar w:fldCharType="separate"/>
      </w:r>
      <w:r>
        <w:rPr>
          <w:rStyle w:val="38"/>
          <w:rFonts w:ascii="仿宋" w:hAnsi="仿宋"/>
          <w:sz w:val="28"/>
          <w:szCs w:val="28"/>
        </w:rPr>
        <w:t>9.3 非煤矿山企业安全生产十条规定</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_Toc88998155 \h </w:instrText>
      </w:r>
      <w:r>
        <w:rPr>
          <w:rFonts w:ascii="仿宋" w:hAnsi="仿宋"/>
          <w:sz w:val="28"/>
          <w:szCs w:val="28"/>
        </w:rPr>
        <w:fldChar w:fldCharType="separate"/>
      </w:r>
      <w:r>
        <w:rPr>
          <w:rFonts w:ascii="仿宋" w:hAnsi="仿宋"/>
          <w:sz w:val="28"/>
          <w:szCs w:val="28"/>
        </w:rPr>
        <w:t>- 33 -</w:t>
      </w:r>
      <w:r>
        <w:rPr>
          <w:rFonts w:ascii="仿宋" w:hAnsi="仿宋"/>
          <w:sz w:val="28"/>
          <w:szCs w:val="28"/>
        </w:rPr>
        <w:fldChar w:fldCharType="end"/>
      </w:r>
      <w:r>
        <w:rPr>
          <w:rFonts w:ascii="仿宋" w:hAnsi="仿宋"/>
          <w:sz w:val="28"/>
          <w:szCs w:val="28"/>
        </w:rPr>
        <w:fldChar w:fldCharType="end"/>
      </w:r>
    </w:p>
    <w:p>
      <w:pPr>
        <w:pStyle w:val="26"/>
        <w:tabs>
          <w:tab w:val="right" w:leader="dot" w:pos="8834"/>
        </w:tabs>
        <w:spacing w:line="360" w:lineRule="auto"/>
        <w:ind w:firstLine="0" w:firstLineChars="0"/>
        <w:rPr>
          <w:rFonts w:ascii="仿宋" w:hAnsi="仿宋"/>
          <w:smallCaps w:val="0"/>
          <w:sz w:val="28"/>
          <w:szCs w:val="28"/>
        </w:rPr>
      </w:pPr>
      <w:r>
        <w:fldChar w:fldCharType="begin"/>
      </w:r>
      <w:r>
        <w:instrText xml:space="preserve"> HYPERLINK \l "_Toc88998157" </w:instrText>
      </w:r>
      <w:r>
        <w:fldChar w:fldCharType="separate"/>
      </w:r>
      <w:r>
        <w:rPr>
          <w:rStyle w:val="38"/>
          <w:rFonts w:ascii="仿宋" w:hAnsi="仿宋"/>
          <w:sz w:val="28"/>
          <w:szCs w:val="28"/>
        </w:rPr>
        <w:t>9.4 非煤矿山现场处置要点</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_Toc88998157 \h </w:instrText>
      </w:r>
      <w:r>
        <w:rPr>
          <w:rFonts w:ascii="仿宋" w:hAnsi="仿宋"/>
          <w:sz w:val="28"/>
          <w:szCs w:val="28"/>
        </w:rPr>
        <w:fldChar w:fldCharType="separate"/>
      </w:r>
      <w:r>
        <w:rPr>
          <w:rFonts w:ascii="仿宋" w:hAnsi="仿宋"/>
          <w:sz w:val="28"/>
          <w:szCs w:val="28"/>
        </w:rPr>
        <w:t>- 34 -</w:t>
      </w:r>
      <w:r>
        <w:rPr>
          <w:rFonts w:ascii="仿宋" w:hAnsi="仿宋"/>
          <w:sz w:val="28"/>
          <w:szCs w:val="28"/>
        </w:rPr>
        <w:fldChar w:fldCharType="end"/>
      </w:r>
      <w:r>
        <w:rPr>
          <w:rFonts w:ascii="仿宋" w:hAnsi="仿宋"/>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"_Toc88998158" </w:instrText>
      </w:r>
      <w:r>
        <w:fldChar w:fldCharType="separate"/>
      </w:r>
      <w:r>
        <w:rPr>
          <w:rStyle w:val="38"/>
          <w:rFonts w:ascii="仿宋" w:hAnsi="仿宋"/>
          <w:i w:val="0"/>
          <w:sz w:val="28"/>
          <w:szCs w:val="28"/>
        </w:rPr>
        <w:t>9.4.1 中毒窒息事故处置要点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_Toc88998158 \h </w:instrText>
      </w:r>
      <w:r>
        <w:rPr>
          <w:rFonts w:ascii="仿宋" w:hAnsi="仿宋"/>
          <w:i w:val="0"/>
          <w:sz w:val="28"/>
          <w:szCs w:val="28"/>
        </w:rPr>
        <w:fldChar w:fldCharType="separate"/>
      </w:r>
      <w:r>
        <w:rPr>
          <w:rFonts w:ascii="仿宋" w:hAnsi="仿宋"/>
          <w:i w:val="0"/>
          <w:sz w:val="28"/>
          <w:szCs w:val="28"/>
        </w:rPr>
        <w:t>- 34 -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"_Toc88998159" </w:instrText>
      </w:r>
      <w:r>
        <w:fldChar w:fldCharType="separate"/>
      </w:r>
      <w:r>
        <w:rPr>
          <w:rStyle w:val="38"/>
          <w:rFonts w:ascii="仿宋" w:hAnsi="仿宋"/>
          <w:i w:val="0"/>
          <w:sz w:val="28"/>
          <w:szCs w:val="28"/>
        </w:rPr>
        <w:t>9.4.2 坍塌事故处置要点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_Toc88998159 \h </w:instrText>
      </w:r>
      <w:r>
        <w:rPr>
          <w:rFonts w:ascii="仿宋" w:hAnsi="仿宋"/>
          <w:i w:val="0"/>
          <w:sz w:val="28"/>
          <w:szCs w:val="28"/>
        </w:rPr>
        <w:fldChar w:fldCharType="separate"/>
      </w:r>
      <w:r>
        <w:rPr>
          <w:rFonts w:ascii="仿宋" w:hAnsi="仿宋"/>
          <w:i w:val="0"/>
          <w:sz w:val="28"/>
          <w:szCs w:val="28"/>
        </w:rPr>
        <w:t>- 35 -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"_Toc88998160" </w:instrText>
      </w:r>
      <w:r>
        <w:fldChar w:fldCharType="separate"/>
      </w:r>
      <w:r>
        <w:rPr>
          <w:rStyle w:val="38"/>
          <w:rFonts w:ascii="仿宋" w:hAnsi="仿宋"/>
          <w:i w:val="0"/>
          <w:sz w:val="28"/>
          <w:szCs w:val="28"/>
        </w:rPr>
        <w:t>9.4.3 冒顶片帮事故处置要点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_Toc88998160 \h </w:instrText>
      </w:r>
      <w:r>
        <w:rPr>
          <w:rFonts w:ascii="仿宋" w:hAnsi="仿宋"/>
          <w:i w:val="0"/>
          <w:sz w:val="28"/>
          <w:szCs w:val="28"/>
        </w:rPr>
        <w:fldChar w:fldCharType="separate"/>
      </w:r>
      <w:r>
        <w:rPr>
          <w:rFonts w:ascii="仿宋" w:hAnsi="仿宋"/>
          <w:i w:val="0"/>
          <w:sz w:val="28"/>
          <w:szCs w:val="28"/>
        </w:rPr>
        <w:t>- 36 -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"_Toc88998161" </w:instrText>
      </w:r>
      <w:r>
        <w:fldChar w:fldCharType="separate"/>
      </w:r>
      <w:r>
        <w:rPr>
          <w:rStyle w:val="38"/>
          <w:rFonts w:ascii="仿宋" w:hAnsi="仿宋"/>
          <w:i w:val="0"/>
          <w:sz w:val="28"/>
          <w:szCs w:val="28"/>
        </w:rPr>
        <w:t>9.4.4 透水事故处置要点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_Toc88998161 \h </w:instrText>
      </w:r>
      <w:r>
        <w:rPr>
          <w:rFonts w:ascii="仿宋" w:hAnsi="仿宋"/>
          <w:i w:val="0"/>
          <w:sz w:val="28"/>
          <w:szCs w:val="28"/>
        </w:rPr>
        <w:fldChar w:fldCharType="separate"/>
      </w:r>
      <w:r>
        <w:rPr>
          <w:rFonts w:ascii="仿宋" w:hAnsi="仿宋"/>
          <w:i w:val="0"/>
          <w:sz w:val="28"/>
          <w:szCs w:val="28"/>
        </w:rPr>
        <w:t>- 37 -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ascii="仿宋" w:hAnsi="仿宋"/>
          <w:i w:val="0"/>
          <w:iCs w:val="0"/>
          <w:sz w:val="28"/>
          <w:szCs w:val="28"/>
        </w:rPr>
      </w:pPr>
      <w:r>
        <w:fldChar w:fldCharType="begin"/>
      </w:r>
      <w:r>
        <w:instrText xml:space="preserve"> HYPERLINK \l "_Toc88998162" </w:instrText>
      </w:r>
      <w:r>
        <w:fldChar w:fldCharType="separate"/>
      </w:r>
      <w:r>
        <w:rPr>
          <w:rStyle w:val="38"/>
          <w:rFonts w:ascii="仿宋" w:hAnsi="仿宋"/>
          <w:i w:val="0"/>
          <w:sz w:val="28"/>
          <w:szCs w:val="28"/>
        </w:rPr>
        <w:t>9.4.5 尾矿库垮坝事故处置要点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_Toc88998162 \h </w:instrText>
      </w:r>
      <w:r>
        <w:rPr>
          <w:rFonts w:ascii="仿宋" w:hAnsi="仿宋"/>
          <w:i w:val="0"/>
          <w:sz w:val="28"/>
          <w:szCs w:val="28"/>
        </w:rPr>
        <w:fldChar w:fldCharType="separate"/>
      </w:r>
      <w:r>
        <w:rPr>
          <w:rFonts w:ascii="仿宋" w:hAnsi="仿宋"/>
          <w:i w:val="0"/>
          <w:sz w:val="28"/>
          <w:szCs w:val="28"/>
        </w:rPr>
        <w:t>- 37 -</w:t>
      </w:r>
      <w:r>
        <w:rPr>
          <w:rFonts w:ascii="仿宋" w:hAnsi="仿宋"/>
          <w:i w:val="0"/>
          <w:sz w:val="28"/>
          <w:szCs w:val="28"/>
        </w:rPr>
        <w:fldChar w:fldCharType="end"/>
      </w:r>
      <w:r>
        <w:rPr>
          <w:rFonts w:ascii="仿宋" w:hAnsi="仿宋"/>
          <w:i w:val="0"/>
          <w:sz w:val="28"/>
          <w:szCs w:val="28"/>
        </w:rPr>
        <w:fldChar w:fldCharType="end"/>
      </w:r>
    </w:p>
    <w:p>
      <w:pPr>
        <w:pStyle w:val="14"/>
        <w:tabs>
          <w:tab w:val="right" w:leader="dot" w:pos="8834"/>
        </w:tabs>
        <w:spacing w:line="360" w:lineRule="auto"/>
        <w:ind w:firstLine="0" w:firstLineChars="0"/>
        <w:rPr>
          <w:rFonts w:eastAsia="宋体"/>
          <w:i w:val="0"/>
          <w:iCs w:val="0"/>
          <w:sz w:val="21"/>
          <w:szCs w:val="22"/>
        </w:rPr>
      </w:pPr>
      <w:r>
        <w:fldChar w:fldCharType="begin"/>
      </w:r>
      <w:r>
        <w:instrText xml:space="preserve"> HYPERLINK \l "_Toc88998163" </w:instrText>
      </w:r>
      <w:r>
        <w:fldChar w:fldCharType="separate"/>
      </w:r>
      <w:r>
        <w:rPr>
          <w:rStyle w:val="38"/>
          <w:rFonts w:ascii="仿宋" w:hAnsi="仿宋"/>
          <w:i w:val="0"/>
          <w:sz w:val="28"/>
          <w:szCs w:val="28"/>
        </w:rPr>
        <w:t>9.4.6 坠罐跑车事故处置要点</w:t>
      </w:r>
      <w:r>
        <w:rPr>
          <w:rFonts w:ascii="仿宋" w:hAnsi="仿宋"/>
          <w:i w:val="0"/>
          <w:sz w:val="28"/>
          <w:szCs w:val="28"/>
        </w:rPr>
        <w:tab/>
      </w:r>
      <w:r>
        <w:rPr>
          <w:rFonts w:ascii="仿宋" w:hAnsi="仿宋"/>
          <w:i w:val="0"/>
          <w:sz w:val="28"/>
          <w:szCs w:val="28"/>
        </w:rPr>
        <w:fldChar w:fldCharType="begin"/>
      </w:r>
      <w:r>
        <w:rPr>
          <w:rFonts w:ascii="仿宋" w:hAnsi="仿宋"/>
          <w:i w:val="0"/>
          <w:sz w:val="28"/>
          <w:szCs w:val="28"/>
        </w:rPr>
        <w:instrText xml:space="preserve"> PAGEREF _Toc88998163 \h </w:instrText>
      </w:r>
      <w:r>
        <w:rPr>
          <w:rFonts w:ascii="仿宋" w:hAnsi="仿宋"/>
          <w:i w:val="0"/>
          <w:sz w:val="28"/>
          <w:szCs w:val="28"/>
        </w:rPr>
        <w:fldChar w:fldCharType="separate"/>
      </w:r>
      <w:r>
        <w:rPr>
          <w:rFonts w:ascii="仿宋" w:hAnsi="仿宋"/>
          <w:i w:val="0"/>
          <w:sz w:val="28"/>
          <w:szCs w:val="28"/>
        </w:rPr>
        <w:t>- 38 -</w:t>
      </w:r>
      <w:r>
        <w:rPr>
          <w:rFonts w:ascii="仿宋" w:hAnsi="仿宋"/>
          <w:i w:val="0"/>
          <w:sz w:val="28"/>
          <w:szCs w:val="28"/>
        </w:rPr>
        <w:fldChar w:fldCharType="end"/>
      </w:r>
      <w:r>
        <w:rPr>
          <w:rFonts w:ascii="仿宋" w:hAnsi="仿宋"/>
          <w:i w:val="0"/>
          <w:sz w:val="28"/>
          <w:szCs w:val="28"/>
        </w:rPr>
        <w:fldChar w:fldCharType="end"/>
      </w:r>
    </w:p>
    <w:p>
      <w:pPr>
        <w:spacing w:line="360" w:lineRule="auto"/>
        <w:ind w:firstLine="0" w:firstLineChars="0"/>
        <w:sectPr>
          <w:headerReference r:id="rId8" w:type="default"/>
          <w:footerReference r:id="rId9" w:type="default"/>
          <w:pgSz w:w="11906" w:h="16838"/>
          <w:pgMar w:top="1701" w:right="1474" w:bottom="1134" w:left="1588" w:header="851" w:footer="992" w:gutter="0"/>
          <w:pgNumType w:fmt="numberInDash" w:start="1"/>
          <w:cols w:space="425" w:num="1"/>
          <w:docGrid w:type="linesAndChars" w:linePitch="312" w:charSpace="0"/>
        </w:sectPr>
      </w:pPr>
      <w:r>
        <w:rPr>
          <w:rFonts w:ascii="黑体" w:hAnsi="黑体" w:eastAsia="黑体"/>
          <w:b/>
          <w:bCs/>
          <w:caps/>
          <w:sz w:val="30"/>
          <w:szCs w:val="30"/>
        </w:rPr>
        <w:fldChar w:fldCharType="end"/>
      </w:r>
    </w:p>
    <w:p>
      <w:pPr>
        <w:pStyle w:val="2"/>
      </w:pPr>
      <w:bookmarkStart w:id="0" w:name="_Toc88998101"/>
      <w:r>
        <w:t>1 总</w:t>
      </w:r>
      <w:r>
        <w:rPr>
          <w:rFonts w:hint="eastAsia"/>
        </w:rPr>
        <w:t xml:space="preserve">  </w:t>
      </w:r>
      <w:r>
        <w:t>则</w:t>
      </w:r>
      <w:bookmarkEnd w:id="0"/>
    </w:p>
    <w:p>
      <w:pPr>
        <w:pStyle w:val="3"/>
      </w:pPr>
      <w:bookmarkStart w:id="1" w:name="_Toc88998102"/>
      <w:r>
        <w:t>1.1 编制目的</w:t>
      </w:r>
      <w:bookmarkEnd w:id="1"/>
    </w:p>
    <w:p>
      <w:pPr>
        <w:ind w:firstLine="594"/>
      </w:pPr>
      <w:r>
        <w:rPr>
          <w:rFonts w:hint="eastAsia"/>
        </w:rPr>
        <w:t>规范海南省非煤矿山事故应急救援和分级响应程序，科学、及时有效地实施应急救援，最大限度程度地减少人员伤亡和财产损失，维护人民群众的生命安全和社会稳定，制定本预案。</w:t>
      </w:r>
    </w:p>
    <w:p>
      <w:pPr>
        <w:pStyle w:val="3"/>
      </w:pPr>
      <w:bookmarkStart w:id="2" w:name="_Toc88998103"/>
      <w:r>
        <w:rPr>
          <w:rFonts w:hint="eastAsia"/>
        </w:rPr>
        <w:t>1.2</w:t>
      </w:r>
      <w:r>
        <w:t xml:space="preserve"> 工作原则</w:t>
      </w:r>
      <w:bookmarkEnd w:id="2"/>
    </w:p>
    <w:p>
      <w:pPr>
        <w:ind w:firstLine="594"/>
      </w:pPr>
      <w:r>
        <w:rPr>
          <w:rFonts w:hint="eastAsia"/>
        </w:rPr>
        <w:t>（1）以人为本，安全第一</w:t>
      </w:r>
    </w:p>
    <w:p>
      <w:pPr>
        <w:ind w:firstLine="594"/>
      </w:pPr>
      <w:r>
        <w:rPr>
          <w:rFonts w:hint="eastAsia"/>
        </w:rPr>
        <w:t>把保障人民生命安全作为首要任务，最大程度地预防和减少生产安全事故造成的人员伤亡和财产损失。做好应急救援人员的安全防护工作</w:t>
      </w:r>
      <w:r>
        <w:t>,充分发挥专业救援力量的骨干作用和专家的参与作用。</w:t>
      </w:r>
    </w:p>
    <w:p>
      <w:pPr>
        <w:ind w:firstLine="594"/>
      </w:pPr>
      <w:r>
        <w:rPr>
          <w:rFonts w:hint="eastAsia"/>
        </w:rPr>
        <w:t>（2）统一领导，分级负责</w:t>
      </w:r>
    </w:p>
    <w:p>
      <w:pPr>
        <w:ind w:firstLine="594"/>
      </w:pPr>
      <w:r>
        <w:rPr>
          <w:rFonts w:hint="eastAsia"/>
        </w:rPr>
        <w:t>在</w:t>
      </w:r>
      <w:r>
        <w:t>省人民政府统一领导下，</w:t>
      </w:r>
      <w:r>
        <w:rPr>
          <w:rFonts w:hint="eastAsia"/>
        </w:rPr>
        <w:t>省有关</w:t>
      </w:r>
      <w:r>
        <w:t>部门和各</w:t>
      </w:r>
      <w:r>
        <w:rPr>
          <w:rFonts w:hint="eastAsia"/>
        </w:rPr>
        <w:t>市县人民</w:t>
      </w:r>
      <w:r>
        <w:t>政府</w:t>
      </w:r>
      <w:r>
        <w:rPr>
          <w:rFonts w:hint="eastAsia"/>
        </w:rPr>
        <w:t>、洋浦经济开发区管委会等</w:t>
      </w:r>
      <w:r>
        <w:t>有关部门按照各自职责和权限，开展事故的应急管理和应急</w:t>
      </w:r>
      <w:r>
        <w:rPr>
          <w:rFonts w:hint="eastAsia"/>
        </w:rPr>
        <w:t>处置</w:t>
      </w:r>
      <w:r>
        <w:t>。</w:t>
      </w:r>
      <w:r>
        <w:rPr>
          <w:rFonts w:hint="eastAsia"/>
        </w:rPr>
        <w:t>建立健全应急机制，做好各级应急预案的衔接，强化落实企业的主体责任。</w:t>
      </w:r>
    </w:p>
    <w:p>
      <w:pPr>
        <w:ind w:firstLine="594"/>
      </w:pPr>
      <w:r>
        <w:rPr>
          <w:rFonts w:hint="eastAsia"/>
        </w:rPr>
        <w:t>（3）依靠科学，依法依规</w:t>
      </w:r>
    </w:p>
    <w:p>
      <w:pPr>
        <w:ind w:firstLine="594"/>
      </w:pPr>
      <w:r>
        <w:rPr>
          <w:rFonts w:hint="eastAsia"/>
        </w:rPr>
        <w:t>强化应急管理装备技术支撑，优化整合各类科技资源，推进应急管理科技自主创新，依靠科技提高应急管理的科学化、专业化、智能化、精细化水平。要加大先进适用装备的配备力度，加强关键技术研发，提高突发事件响应和处置能力。以信息化推进应急管理现代化，各行业部门要加强信息化指挥场所的建设，提升应急指挥效率及效能，保证信息系统上报的质量和效率，提高监测预警能力、监管执法能力、辅助指挥决策能力、救援实战能力和社会动员能力。</w:t>
      </w:r>
    </w:p>
    <w:p>
      <w:pPr>
        <w:ind w:firstLine="594"/>
      </w:pPr>
      <w:r>
        <w:rPr>
          <w:rFonts w:hint="eastAsia"/>
        </w:rPr>
        <w:t>（4）预防为主，平战结合</w:t>
      </w:r>
    </w:p>
    <w:p>
      <w:pPr>
        <w:ind w:firstLine="594"/>
      </w:pPr>
      <w:r>
        <w:rPr>
          <w:rFonts w:hint="eastAsia"/>
        </w:rPr>
        <w:t>贯彻落实“预防为主”方针，坚持事故应急与预防工作相结合。以常态下的风险评估、物资储备、队伍建设、装备配备、预案编制、应急培训和应急演练等工作为重点，保证个人防护用品的配备及应急物资的常态化监督管理，做好预防、预测、预警工作。</w:t>
      </w:r>
    </w:p>
    <w:p>
      <w:pPr>
        <w:pStyle w:val="3"/>
      </w:pPr>
      <w:bookmarkStart w:id="3" w:name="_Toc88998104"/>
      <w:r>
        <w:rPr>
          <w:rFonts w:hint="eastAsia"/>
        </w:rPr>
        <w:t>1.3 编制依据</w:t>
      </w:r>
      <w:bookmarkEnd w:id="3"/>
    </w:p>
    <w:p>
      <w:pPr>
        <w:ind w:firstLine="594"/>
      </w:pPr>
      <w:r>
        <w:rPr>
          <w:rFonts w:hint="eastAsia"/>
        </w:rPr>
        <w:t>（1）</w:t>
      </w:r>
      <w:r>
        <w:t>《中华人民共和国安全生产法》</w:t>
      </w:r>
    </w:p>
    <w:p>
      <w:pPr>
        <w:ind w:firstLine="594"/>
      </w:pPr>
      <w:r>
        <w:rPr>
          <w:rFonts w:hint="eastAsia"/>
        </w:rPr>
        <w:t>（2）《中华人民共和国消防法》</w:t>
      </w:r>
    </w:p>
    <w:p>
      <w:pPr>
        <w:ind w:firstLine="594"/>
      </w:pPr>
      <w:r>
        <w:rPr>
          <w:rFonts w:hint="eastAsia"/>
        </w:rPr>
        <w:t>（3）</w:t>
      </w:r>
      <w:r>
        <w:t>《中华人民共和国突发事件应对法》</w:t>
      </w:r>
    </w:p>
    <w:p>
      <w:pPr>
        <w:ind w:firstLine="594"/>
      </w:pPr>
      <w:r>
        <w:rPr>
          <w:rFonts w:hint="eastAsia"/>
        </w:rPr>
        <w:t>（4）</w:t>
      </w:r>
      <w:r>
        <w:t>《生产经营单位生产安全事故应急预案编制导则》</w:t>
      </w:r>
    </w:p>
    <w:p>
      <w:pPr>
        <w:ind w:firstLine="594"/>
      </w:pPr>
      <w:r>
        <w:rPr>
          <w:rFonts w:hint="eastAsia"/>
        </w:rPr>
        <w:t>（</w:t>
      </w:r>
      <w:r>
        <w:t>5</w:t>
      </w:r>
      <w:r>
        <w:rPr>
          <w:rFonts w:hint="eastAsia"/>
        </w:rPr>
        <w:t>）</w:t>
      </w:r>
      <w:r>
        <w:t>《生产安全事故应急条例》</w:t>
      </w:r>
    </w:p>
    <w:p>
      <w:pPr>
        <w:ind w:firstLine="594"/>
      </w:pPr>
      <w:r>
        <w:rPr>
          <w:rFonts w:hint="eastAsia"/>
        </w:rPr>
        <w:t>（</w:t>
      </w:r>
      <w:r>
        <w:t>6</w:t>
      </w:r>
      <w:r>
        <w:rPr>
          <w:rFonts w:hint="eastAsia"/>
        </w:rPr>
        <w:t>）</w:t>
      </w:r>
      <w:r>
        <w:t>《生产安全事故报告和调查处理条例》</w:t>
      </w:r>
    </w:p>
    <w:p>
      <w:pPr>
        <w:ind w:firstLine="594"/>
      </w:pPr>
      <w:r>
        <w:rPr>
          <w:rFonts w:hint="eastAsia"/>
        </w:rPr>
        <w:t>（</w:t>
      </w:r>
      <w:r>
        <w:t>7</w:t>
      </w:r>
      <w:r>
        <w:rPr>
          <w:rFonts w:hint="eastAsia"/>
        </w:rPr>
        <w:t>）《突发事件应急预案管理办法》</w:t>
      </w:r>
    </w:p>
    <w:p>
      <w:pPr>
        <w:ind w:firstLine="594"/>
      </w:pPr>
      <w:r>
        <w:rPr>
          <w:rFonts w:hint="eastAsia"/>
        </w:rPr>
        <w:t>（</w:t>
      </w:r>
      <w:r>
        <w:t>8</w:t>
      </w:r>
      <w:r>
        <w:rPr>
          <w:rFonts w:hint="eastAsia"/>
        </w:rPr>
        <w:t>）</w:t>
      </w:r>
      <w:r>
        <w:t>《生产安全事故应急预案管理办法》</w:t>
      </w:r>
    </w:p>
    <w:p>
      <w:pPr>
        <w:ind w:firstLine="594"/>
        <w:rPr>
          <w:rFonts w:hint="eastAsia" w:ascii="微软雅黑" w:hAnsi="微软雅黑"/>
          <w:color w:val="000000"/>
          <w:szCs w:val="32"/>
          <w:shd w:val="clear" w:color="auto" w:fill="FFFFFF"/>
        </w:rPr>
      </w:pPr>
      <w:r>
        <w:rPr>
          <w:rFonts w:hint="eastAsia"/>
        </w:rPr>
        <w:t>（</w:t>
      </w:r>
      <w:r>
        <w:t>9</w:t>
      </w:r>
      <w:r>
        <w:rPr>
          <w:rFonts w:hint="eastAsia"/>
        </w:rPr>
        <w:t>）</w:t>
      </w:r>
      <w:r>
        <w:rPr>
          <w:rFonts w:ascii="微软雅黑" w:hAnsi="微软雅黑"/>
          <w:color w:val="000000"/>
          <w:szCs w:val="32"/>
          <w:shd w:val="clear" w:color="auto" w:fill="FFFFFF"/>
        </w:rPr>
        <w:t>《海南自由贸易港消防条例》</w:t>
      </w:r>
    </w:p>
    <w:p>
      <w:pPr>
        <w:ind w:firstLine="594"/>
      </w:pPr>
      <w:r>
        <w:rPr>
          <w:rFonts w:hint="eastAsia"/>
        </w:rPr>
        <w:t>（</w:t>
      </w:r>
      <w:r>
        <w:t>10</w:t>
      </w:r>
      <w:r>
        <w:rPr>
          <w:rFonts w:hint="eastAsia"/>
        </w:rPr>
        <w:t>）</w:t>
      </w:r>
      <w:r>
        <w:t>《海南经济特区安全生产条例》</w:t>
      </w:r>
    </w:p>
    <w:p>
      <w:pPr>
        <w:ind w:firstLine="594"/>
      </w:pPr>
      <w:r>
        <w:rPr>
          <w:rFonts w:hint="eastAsia"/>
        </w:rPr>
        <w:t>（1</w:t>
      </w:r>
      <w:r>
        <w:t>1</w:t>
      </w:r>
      <w:r>
        <w:rPr>
          <w:rFonts w:hint="eastAsia"/>
        </w:rPr>
        <w:t>）</w:t>
      </w:r>
      <w:r>
        <w:t>《生产经营单位生产安全事故应急预案编制导则》</w:t>
      </w:r>
    </w:p>
    <w:p>
      <w:pPr>
        <w:ind w:firstLine="594"/>
      </w:pPr>
      <w:r>
        <w:rPr>
          <w:rFonts w:hint="eastAsia"/>
        </w:rPr>
        <w:t>（1</w:t>
      </w:r>
      <w:r>
        <w:t>2</w:t>
      </w:r>
      <w:r>
        <w:rPr>
          <w:rFonts w:hint="eastAsia"/>
        </w:rPr>
        <w:t>）</w:t>
      </w:r>
      <w:r>
        <w:t>《海南省生产安全事故应急预案》</w:t>
      </w:r>
    </w:p>
    <w:p>
      <w:pPr>
        <w:pStyle w:val="3"/>
      </w:pPr>
      <w:bookmarkStart w:id="4" w:name="_Toc88998105"/>
      <w:r>
        <w:rPr>
          <w:rFonts w:hint="eastAsia"/>
        </w:rPr>
        <w:t>1.4 适用范围</w:t>
      </w:r>
      <w:bookmarkEnd w:id="4"/>
    </w:p>
    <w:p>
      <w:pPr>
        <w:ind w:firstLine="594"/>
      </w:pPr>
      <w:r>
        <w:rPr>
          <w:rFonts w:hint="eastAsia"/>
        </w:rPr>
        <w:t>本预案适用于本省行政区域内在矿产资源开采活动中发生下列非煤矿山生产安全事故（以下简称‘非煤矿山生产安全事故’）的应急准备和应急救援工作：</w:t>
      </w:r>
    </w:p>
    <w:p>
      <w:pPr>
        <w:pStyle w:val="117"/>
        <w:numPr>
          <w:ilvl w:val="0"/>
          <w:numId w:val="1"/>
        </w:numPr>
        <w:ind w:firstLineChars="0"/>
      </w:pPr>
      <w:r>
        <w:rPr>
          <w:rFonts w:hint="eastAsia"/>
        </w:rPr>
        <w:t>重大、特别重大非煤矿山生产安全事故；</w:t>
      </w:r>
    </w:p>
    <w:p>
      <w:pPr>
        <w:pStyle w:val="117"/>
        <w:numPr>
          <w:ilvl w:val="0"/>
          <w:numId w:val="1"/>
        </w:numPr>
        <w:ind w:firstLineChars="0"/>
      </w:pPr>
      <w:r>
        <w:rPr>
          <w:rFonts w:hint="eastAsia"/>
        </w:rPr>
        <w:t>超出事发地市县人民政府、洋浦经济开发区管委会处置能力的，或者跨市县行政区、跨多个领域（行业和部门）的非煤矿山生产安全事故；</w:t>
      </w:r>
    </w:p>
    <w:p>
      <w:pPr>
        <w:pStyle w:val="117"/>
        <w:numPr>
          <w:ilvl w:val="0"/>
          <w:numId w:val="1"/>
        </w:numPr>
        <w:ind w:firstLineChars="0"/>
      </w:pPr>
      <w:r>
        <w:rPr>
          <w:rFonts w:hint="eastAsia"/>
        </w:rPr>
        <w:t>省人民政府认为有必要响应的非煤矿山生产安全事故；</w:t>
      </w:r>
    </w:p>
    <w:p>
      <w:pPr>
        <w:pStyle w:val="117"/>
        <w:numPr>
          <w:ilvl w:val="0"/>
          <w:numId w:val="1"/>
        </w:numPr>
        <w:ind w:firstLineChars="0"/>
      </w:pPr>
      <w:r>
        <w:rPr>
          <w:rFonts w:hint="eastAsia"/>
        </w:rPr>
        <w:t>应急管理部或省人民政府责成处置的非煤矿山生产安全事故。</w:t>
      </w:r>
    </w:p>
    <w:p>
      <w:pPr>
        <w:ind w:firstLine="594"/>
      </w:pPr>
      <w:r>
        <w:rPr>
          <w:rFonts w:hint="eastAsia"/>
        </w:rPr>
        <w:t>本预案适用范围之外的省内非煤矿山生产安全事故，由市县人民政府、洋浦经济开发区管委会应对处置，省人民政府及省有关部门根据需要进行协调、指导。</w:t>
      </w:r>
    </w:p>
    <w:p>
      <w:pPr>
        <w:ind w:firstLine="594"/>
      </w:pPr>
      <w:r>
        <w:br w:type="page"/>
      </w:r>
    </w:p>
    <w:p>
      <w:pPr>
        <w:pStyle w:val="2"/>
      </w:pPr>
      <w:bookmarkStart w:id="5" w:name="_Toc88998106"/>
      <w:r>
        <w:t xml:space="preserve">2 </w:t>
      </w:r>
      <w:r>
        <w:rPr>
          <w:rFonts w:hint="eastAsia"/>
        </w:rPr>
        <w:t>危险性分析</w:t>
      </w:r>
      <w:bookmarkEnd w:id="5"/>
    </w:p>
    <w:p>
      <w:pPr>
        <w:pStyle w:val="3"/>
      </w:pPr>
      <w:bookmarkStart w:id="6" w:name="_Toc88998107"/>
      <w:r>
        <w:rPr>
          <w:rFonts w:hint="eastAsia"/>
        </w:rPr>
        <w:t>2</w:t>
      </w:r>
      <w:r>
        <w:t>.</w:t>
      </w:r>
      <w:r>
        <w:rPr>
          <w:rFonts w:hint="eastAsia"/>
        </w:rPr>
        <w:t>1</w:t>
      </w:r>
      <w:r>
        <w:t xml:space="preserve"> </w:t>
      </w:r>
      <w:r>
        <w:rPr>
          <w:rFonts w:hint="eastAsia"/>
        </w:rPr>
        <w:t>基本现状</w:t>
      </w:r>
      <w:bookmarkEnd w:id="6"/>
    </w:p>
    <w:p>
      <w:pPr>
        <w:ind w:firstLine="594"/>
      </w:pPr>
      <w:r>
        <w:rPr>
          <w:rFonts w:hint="eastAsia"/>
        </w:rPr>
        <w:t>分布情况：</w:t>
      </w:r>
      <w:r>
        <w:rPr>
          <w:szCs w:val="20"/>
        </w:rPr>
        <w:t>海南省现持有安全生产许可证的非煤矿山企业77家，其中露天矿山70家，地下矿山4家，尾矿库3家。除三沙市、洋浦</w:t>
      </w:r>
      <w:r>
        <w:rPr>
          <w:rFonts w:hint="eastAsia"/>
          <w:szCs w:val="20"/>
        </w:rPr>
        <w:t>经济开发区</w:t>
      </w:r>
      <w:r>
        <w:rPr>
          <w:szCs w:val="20"/>
        </w:rPr>
        <w:t>以外，其余各市县皆有非煤矿山，海口市、儋州市、东方市、琼海市、昌江黎族自治县、屯昌黎族自治县非煤矿山数量较多。</w:t>
      </w:r>
    </w:p>
    <w:p>
      <w:pPr>
        <w:pStyle w:val="3"/>
      </w:pPr>
      <w:bookmarkStart w:id="7" w:name="_Toc88998108"/>
      <w:r>
        <w:rPr>
          <w:rFonts w:hint="eastAsia"/>
        </w:rPr>
        <w:t>2</w:t>
      </w:r>
      <w:r>
        <w:t>.2 风险分析</w:t>
      </w:r>
      <w:bookmarkEnd w:id="7"/>
    </w:p>
    <w:p>
      <w:pPr>
        <w:ind w:firstLine="594"/>
      </w:pPr>
      <w:r>
        <w:rPr>
          <w:rFonts w:hint="eastAsia"/>
        </w:rPr>
        <w:t>非煤矿山主要有地压灾害、水害、火灾、爆破伤害、中毒与窒息、尾矿库垮坝、坠罐跑车等事故类型。</w:t>
      </w:r>
    </w:p>
    <w:p>
      <w:pPr>
        <w:ind w:firstLine="594"/>
      </w:pPr>
      <w:r>
        <w:rPr>
          <w:rFonts w:hint="eastAsia"/>
        </w:rPr>
        <w:t>发生地压灾害的主要原因有：回采顺序不合理，未及时处理采空区；采矿方法选择不合理和采场顶板管理不善；缺乏有效支护手段；浮石处理操作不当；矿岩地址条件差，节理裂隙发育，地应力大等。</w:t>
      </w:r>
    </w:p>
    <w:p>
      <w:pPr>
        <w:ind w:firstLine="594"/>
      </w:pPr>
      <w:r>
        <w:rPr>
          <w:rFonts w:hint="eastAsia"/>
        </w:rPr>
        <w:t>发生水害事故的主要原因有：采掘过程中遇到含水的地质构造、老窿或地表水体，没有探水或探水工艺不合理；未及时发现突水征兆；降雨量突然加大，造成井下涌水量突然加大；没有防排水设施或设计、施工不合理；采掘工作面与地表水体、溶洞意外连通。</w:t>
      </w:r>
    </w:p>
    <w:p>
      <w:pPr>
        <w:ind w:firstLine="594"/>
      </w:pPr>
      <w:r>
        <w:rPr>
          <w:rFonts w:hint="eastAsia"/>
        </w:rPr>
        <w:t>发生火灾的主要原因有内因火灾和外因火灾：内因火灾只能发生在具有自燃性矿床的矿山，且发生火灾的原因十分复杂，其初期阶段不易被发现，很难找到火源中心的准确位置，所以扑灭此类火灾比较困难。外因火灾主要有各类油料在运输、保管和使用时所引起的火灾；炸药在运输、加工和使用过程中发生的火灾；电气设备的绝缘损坏和性能不良引发的火灾等。</w:t>
      </w:r>
    </w:p>
    <w:p>
      <w:pPr>
        <w:ind w:firstLine="594"/>
      </w:pPr>
      <w:r>
        <w:rPr>
          <w:rFonts w:hint="eastAsia"/>
        </w:rPr>
        <w:t>发生爆破伤害、中毒与窒息的主要原因有：炸药性质和爆破器材不合格，在运输过程中遇到明火、高温物体，强烈振动或摩擦；装药、起爆工艺不合理或违章操作；爆破器材库设计不合理，违章发放或存放爆破器材，存在能够引起爆炸的引爆源；违章作业或通风系统不合理，坑内标识不合理或无标识，导致作业人员进入或滞留在饱受炮烟污染的区域内；作业中突然遇到含有大量窒息性气体、有毒有害气体、粉尘。此类灾害与违章作业和通风不畅有关，在救助过程和方式不合理的情况下有可能扩大事故。</w:t>
      </w:r>
    </w:p>
    <w:p>
      <w:pPr>
        <w:ind w:firstLine="594"/>
      </w:pPr>
      <w:r>
        <w:rPr>
          <w:rFonts w:hint="eastAsia"/>
        </w:rPr>
        <w:t>发生尾矿库垮坝的主要原因有：洪水、尾矿坝裂缝、尾矿坝渗漏、尾矿坝滑坡等。因此，尾矿库必须设置排洪设施，满足防洪要求。尾矿库的排洪方式应根据地形、地质条件、洪水量、调洪能力、回水方式、操作条件与使用年限等因素确定。尾矿库宜采用排水井（斜槽）—排水管（隧洞）排洪系统，有条件时也可采用溢洪道或截洪沟等排洪设施。</w:t>
      </w:r>
    </w:p>
    <w:p>
      <w:pPr>
        <w:ind w:firstLine="594"/>
      </w:pPr>
      <w:r>
        <w:rPr>
          <w:rFonts w:hint="eastAsia"/>
        </w:rPr>
        <w:t>发生坠罐跑车的主要原因有：提升钢丝绳因强度不够、疲劳破坏、超载等因素导致断裂而引发坠罐、吊桶坠落或斜井跑车事故；操作人员缺乏安全意识，违章操作；使用、维护、保养不当，未按规定定期进行安全性能检验等。</w:t>
      </w:r>
    </w:p>
    <w:p>
      <w:pPr>
        <w:pStyle w:val="2"/>
      </w:pPr>
      <w:bookmarkStart w:id="8" w:name="_Toc88998109"/>
      <w:r>
        <w:rPr>
          <w:rFonts w:hint="eastAsia"/>
        </w:rPr>
        <w:t>3</w:t>
      </w:r>
      <w:r>
        <w:t xml:space="preserve"> 组织体系及职责</w:t>
      </w:r>
      <w:bookmarkEnd w:id="8"/>
    </w:p>
    <w:p>
      <w:pPr>
        <w:pStyle w:val="3"/>
      </w:pPr>
      <w:bookmarkStart w:id="9" w:name="_Toc88998110"/>
      <w:r>
        <w:rPr>
          <w:rFonts w:hint="eastAsia"/>
        </w:rPr>
        <w:t>3</w:t>
      </w:r>
      <w:r>
        <w:t xml:space="preserve">.1 </w:t>
      </w:r>
      <w:r>
        <w:rPr>
          <w:rFonts w:hint="eastAsia"/>
        </w:rPr>
        <w:t>应急组织机构</w:t>
      </w:r>
      <w:bookmarkEnd w:id="9"/>
    </w:p>
    <w:p>
      <w:pPr>
        <w:ind w:firstLine="594"/>
        <w:sectPr>
          <w:headerReference r:id="rId10" w:type="default"/>
          <w:footerReference r:id="rId11" w:type="default"/>
          <w:pgSz w:w="11906" w:h="16838"/>
          <w:pgMar w:top="2098" w:right="1797" w:bottom="1588" w:left="1797" w:header="567" w:footer="0" w:gutter="0"/>
          <w:pgNumType w:fmt="numberInDash" w:start="1"/>
          <w:cols w:space="425" w:num="1"/>
          <w:docGrid w:type="linesAndChars" w:linePitch="597" w:charSpace="-4740"/>
        </w:sectPr>
      </w:pPr>
      <w:r>
        <w:rPr>
          <w:rFonts w:hint="eastAsia"/>
        </w:rPr>
        <w:t>重大、特别重大非煤矿山生产安全事故发生后，在省人民政府的统一领导下，成立海南省非煤矿山生产安全事故应急指挥部（简称“省指挥部”），并根据现场实际需要成立海南省非煤矿山生产安全事故现场救援指挥部（简称“现场指挥部”）。</w:t>
      </w:r>
    </w:p>
    <w:p>
      <w:pPr>
        <w:spacing w:line="240" w:lineRule="auto"/>
        <w:ind w:firstLine="0" w:firstLineChars="0"/>
        <w:sectPr>
          <w:pgSz w:w="16838" w:h="11906" w:orient="landscape"/>
          <w:pgMar w:top="1701" w:right="1474" w:bottom="1134" w:left="1588" w:header="851" w:footer="0" w:gutter="0"/>
          <w:pgNumType w:fmt="numberInDash"/>
          <w:cols w:space="425" w:num="1"/>
          <w:docGrid w:type="linesAndChars" w:linePitch="326" w:charSpace="0"/>
        </w:sectPr>
      </w:pPr>
      <w:r>
        <w:object>
          <v:shape id="_x0000_i1025" o:spt="75" type="#_x0000_t75" style="height:394pt;width:690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3"/>
      </w:pPr>
      <w:bookmarkStart w:id="10" w:name="_Toc88998111"/>
      <w:r>
        <w:rPr>
          <w:rFonts w:hint="eastAsia"/>
        </w:rPr>
        <w:t>3</w:t>
      </w:r>
      <w:r>
        <w:t>.</w:t>
      </w:r>
      <w:r>
        <w:rPr>
          <w:rFonts w:hint="eastAsia"/>
        </w:rPr>
        <w:t>2</w:t>
      </w:r>
      <w:r>
        <w:t xml:space="preserve"> </w:t>
      </w:r>
      <w:r>
        <w:rPr>
          <w:rFonts w:hint="eastAsia"/>
        </w:rPr>
        <w:t>省指挥部</w:t>
      </w:r>
      <w:bookmarkEnd w:id="10"/>
    </w:p>
    <w:p>
      <w:pPr>
        <w:ind w:firstLine="594"/>
      </w:pPr>
      <w:r>
        <w:rPr>
          <w:rFonts w:hint="eastAsia"/>
        </w:rPr>
        <w:t>省指挥部是发生非煤矿山重大、特别重大生产安全事故后成立的应急机构，由分管相应工作的副省长任省总指挥</w:t>
      </w:r>
      <w:r>
        <w:t>,</w:t>
      </w:r>
      <w:r>
        <w:rPr>
          <w:rFonts w:hint="eastAsia"/>
        </w:rPr>
        <w:t>应急厅主要负责人</w:t>
      </w:r>
      <w:r>
        <w:t>和事发地市县人民政府的主要领导任省副总指挥</w:t>
      </w:r>
      <w:r>
        <w:rPr>
          <w:rFonts w:hint="eastAsia"/>
        </w:rPr>
        <w:t>，成员由省应急厅、省资规厅、省公安厅、省交通运输厅、省生态环境厅、省卫健委、省委宣传部、省消防救援总队等主要部门相关负责人组成。省指挥部成员应按实际救援要求，增减有关部门相关负责人。</w:t>
      </w:r>
    </w:p>
    <w:p>
      <w:pPr>
        <w:ind w:firstLine="594"/>
      </w:pPr>
      <w:r>
        <w:rPr>
          <w:rFonts w:hint="eastAsia"/>
        </w:rPr>
        <w:t>省指挥部主要负责指导协调市县人民政府、洋浦经济开发区管委会开展应急救援工作；指挥协调省安委会有关成员单位和省级应急救援力量参与救援工作。</w:t>
      </w:r>
    </w:p>
    <w:p>
      <w:pPr>
        <w:ind w:firstLine="594"/>
      </w:pPr>
      <w:r>
        <w:rPr>
          <w:rFonts w:hint="eastAsia"/>
        </w:rPr>
        <w:t>省指挥部成员单位职责如下：</w:t>
      </w:r>
    </w:p>
    <w:p>
      <w:pPr>
        <w:ind w:firstLine="594"/>
      </w:pPr>
      <w:r>
        <w:rPr>
          <w:rFonts w:hint="eastAsia"/>
        </w:rPr>
        <w:t>省应急厅：指导、协调非煤矿山事故应急救援体系建设；指导省各级地方人民政府建立非煤矿山专业应急救援队伍，协调、组织调动非煤矿山专业应急救援队伍参与事故应急救援处置；组建非煤矿山应急专家组，为应急救援提供技术支撑；组织开展非煤矿山事故应急演练、救援评估和事故调查处置等工作。</w:t>
      </w:r>
    </w:p>
    <w:p>
      <w:pPr>
        <w:ind w:firstLine="594"/>
      </w:pPr>
      <w:r>
        <w:rPr>
          <w:rFonts w:hint="eastAsia"/>
        </w:rPr>
        <w:t>省资规厅：承担非煤矿山生产安全事故后的地质灾害防治技术支撑工作。</w:t>
      </w:r>
    </w:p>
    <w:p>
      <w:pPr>
        <w:ind w:firstLine="594"/>
      </w:pPr>
      <w:r>
        <w:rPr>
          <w:rFonts w:hint="eastAsia"/>
        </w:rPr>
        <w:t>省公安厅：负责组织、指导制定人员疏散和事故现场警戒方案，组织事故影响区域内人员疏散撤离和撤离区域的治安管理；负责组织、指导制定事故交通处置方案，加强事故现场区域周边道路交通管控的治安管理工作，禁止无关车辆和人员进入危险区域，保障救援通道的畅通；按照有关规定参与事故调查。</w:t>
      </w:r>
    </w:p>
    <w:p>
      <w:pPr>
        <w:ind w:firstLine="594"/>
      </w:pPr>
      <w:r>
        <w:rPr>
          <w:rFonts w:hint="eastAsia"/>
        </w:rPr>
        <w:t>省交通运输厅：负责调动抢险运输单位，组织事故现场抢险物资、抢险人员和疏散人员的运送。</w:t>
      </w:r>
    </w:p>
    <w:p>
      <w:pPr>
        <w:ind w:firstLine="594"/>
      </w:pPr>
      <w:r>
        <w:rPr>
          <w:rFonts w:hint="eastAsia"/>
        </w:rPr>
        <w:t>省生态环境厅：负责对非煤矿山、尾矿库事故所造成的环境污染开展环境应急监测、分析并提出污染处置建议。</w:t>
      </w:r>
    </w:p>
    <w:p>
      <w:pPr>
        <w:ind w:firstLine="594"/>
      </w:pPr>
      <w:r>
        <w:rPr>
          <w:rFonts w:hint="eastAsia"/>
        </w:rPr>
        <w:t>省卫健委：负责组织对非煤矿山事故伤员的医疗救护，根据就近原则和医疗能力确定救治医院，指导救治医院储备相应的医疗器械和急救药品；组织开展现场救护及伤员转运，做好伤员分检、救治的统计工作。</w:t>
      </w:r>
    </w:p>
    <w:p>
      <w:pPr>
        <w:ind w:firstLine="594"/>
      </w:pPr>
      <w:r>
        <w:rPr>
          <w:rFonts w:hint="eastAsia"/>
        </w:rPr>
        <w:t>省委宣传部：负责指导事故应急救援工作的新闻报道，组织、协调省内新闻媒体统一发稿；涉及事故原因和责任问题的信息发布、新闻报道按有关规定报批。</w:t>
      </w:r>
    </w:p>
    <w:p>
      <w:pPr>
        <w:ind w:firstLine="594"/>
      </w:pPr>
      <w:r>
        <w:rPr>
          <w:rFonts w:hint="eastAsia"/>
        </w:rPr>
        <w:t>省消防救援总队：参与现场被困人员的搜救</w:t>
      </w:r>
      <w:r>
        <w:t>, 按照有关规定参与事故的调查处理。</w:t>
      </w:r>
    </w:p>
    <w:p>
      <w:pPr>
        <w:pStyle w:val="3"/>
      </w:pPr>
      <w:bookmarkStart w:id="11" w:name="_Toc88998112"/>
      <w:r>
        <w:rPr>
          <w:rFonts w:hint="eastAsia"/>
        </w:rPr>
        <w:t>3</w:t>
      </w:r>
      <w:r>
        <w:t>.</w:t>
      </w:r>
      <w:r>
        <w:rPr>
          <w:rFonts w:hint="eastAsia"/>
        </w:rPr>
        <w:t>3</w:t>
      </w:r>
      <w:r>
        <w:t xml:space="preserve"> </w:t>
      </w:r>
      <w:r>
        <w:rPr>
          <w:rFonts w:hint="eastAsia"/>
        </w:rPr>
        <w:t>现场指挥部</w:t>
      </w:r>
      <w:bookmarkEnd w:id="11"/>
    </w:p>
    <w:p>
      <w:pPr>
        <w:ind w:firstLine="594"/>
      </w:pPr>
      <w:r>
        <w:rPr>
          <w:rFonts w:hint="eastAsia"/>
        </w:rPr>
        <w:t>现场指挥部是发生非煤矿山重大、特别重大生产安全事故（以及1.4条规定的其他事故范围）后，由省指挥部根据需要成立的应急机构，现场指挥长由省指挥部指定人员担任，成员由事发地市县人民政府（洋浦经济开发区管委会）、省安委会有关部门、救援队伍、事发企业等有关负责人及应急专家组成。</w:t>
      </w:r>
    </w:p>
    <w:p>
      <w:pPr>
        <w:ind w:firstLine="594"/>
      </w:pPr>
      <w:r>
        <w:rPr>
          <w:rFonts w:hint="eastAsia"/>
        </w:rPr>
        <w:t>现场指挥部具体负责事故的应急救援工作：制定事故应急救援方案，指挥协调应急救援力量开展救援，及时向省指挥部报告事故发展态势及救援情况，落实省指挥部交办的其他事宜。</w:t>
      </w:r>
    </w:p>
    <w:p>
      <w:pPr>
        <w:ind w:firstLine="594"/>
        <w:sectPr>
          <w:pgSz w:w="11906" w:h="16838"/>
          <w:pgMar w:top="2098" w:right="1797" w:bottom="1588" w:left="1797" w:header="567" w:footer="0" w:gutter="0"/>
          <w:pgNumType w:fmt="numberInDash"/>
          <w:cols w:space="425" w:num="1"/>
          <w:docGrid w:type="linesAndChars" w:linePitch="597" w:charSpace="-4740"/>
        </w:sectPr>
      </w:pPr>
      <w:r>
        <w:rPr>
          <w:rFonts w:hint="eastAsia"/>
        </w:rPr>
        <w:t>现场指挥部根据救援需要下设若干应急救援职能小组，具体分工和职责如下：</w:t>
      </w:r>
    </w:p>
    <w:tbl>
      <w:tblPr>
        <w:tblStyle w:val="31"/>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2"/>
        <w:gridCol w:w="6407"/>
        <w:gridCol w:w="4024"/>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blHeader/>
          <w:jc w:val="center"/>
        </w:trPr>
        <w:tc>
          <w:tcPr>
            <w:tcW w:w="13938" w:type="dxa"/>
            <w:gridSpan w:val="4"/>
            <w:shd w:val="clear" w:color="auto" w:fill="D9D9D9"/>
            <w:vAlign w:val="center"/>
          </w:tcPr>
          <w:p>
            <w:pPr>
              <w:pStyle w:val="42"/>
              <w:spacing w:line="240" w:lineRule="auto"/>
              <w:ind w:firstLine="0" w:firstLineChars="0"/>
              <w:jc w:val="center"/>
              <w:rPr>
                <w:b/>
                <w:sz w:val="24"/>
                <w:szCs w:val="21"/>
                <w:lang w:eastAsia="en-US"/>
              </w:rPr>
            </w:pPr>
            <w:r>
              <w:rPr>
                <w:rFonts w:hint="eastAsia"/>
                <w:b/>
                <w:sz w:val="24"/>
                <w:szCs w:val="21"/>
                <w:lang w:eastAsia="en-US"/>
              </w:rPr>
              <w:t>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2002" w:type="dxa"/>
            <w:shd w:val="clear" w:color="auto" w:fill="D9D9D9"/>
            <w:vAlign w:val="center"/>
          </w:tcPr>
          <w:p>
            <w:pPr>
              <w:pStyle w:val="42"/>
              <w:spacing w:line="240" w:lineRule="auto"/>
              <w:ind w:firstLine="0" w:firstLineChars="0"/>
              <w:jc w:val="center"/>
              <w:rPr>
                <w:b/>
                <w:sz w:val="24"/>
                <w:szCs w:val="21"/>
                <w:lang w:eastAsia="en-US"/>
              </w:rPr>
            </w:pPr>
            <w:r>
              <w:rPr>
                <w:b/>
                <w:sz w:val="24"/>
                <w:szCs w:val="21"/>
                <w:lang w:eastAsia="en-US"/>
              </w:rPr>
              <w:t>应急岗位</w:t>
            </w:r>
          </w:p>
        </w:tc>
        <w:tc>
          <w:tcPr>
            <w:tcW w:w="6407" w:type="dxa"/>
            <w:shd w:val="clear" w:color="auto" w:fill="D9D9D9"/>
            <w:vAlign w:val="center"/>
          </w:tcPr>
          <w:p>
            <w:pPr>
              <w:pStyle w:val="42"/>
              <w:spacing w:line="240" w:lineRule="auto"/>
              <w:ind w:firstLine="0" w:firstLineChars="0"/>
              <w:jc w:val="center"/>
              <w:rPr>
                <w:b/>
                <w:sz w:val="24"/>
                <w:szCs w:val="21"/>
                <w:lang w:eastAsia="en-US"/>
              </w:rPr>
            </w:pPr>
            <w:r>
              <w:rPr>
                <w:b/>
                <w:sz w:val="24"/>
                <w:szCs w:val="21"/>
                <w:lang w:eastAsia="en-US"/>
              </w:rPr>
              <w:t>主要职责</w:t>
            </w:r>
          </w:p>
        </w:tc>
        <w:tc>
          <w:tcPr>
            <w:tcW w:w="4024" w:type="dxa"/>
            <w:shd w:val="clear" w:color="auto" w:fill="D9D9D9"/>
            <w:vAlign w:val="center"/>
          </w:tcPr>
          <w:p>
            <w:pPr>
              <w:pStyle w:val="42"/>
              <w:spacing w:line="240" w:lineRule="auto"/>
              <w:ind w:firstLine="0" w:firstLineChars="0"/>
              <w:jc w:val="center"/>
              <w:rPr>
                <w:b/>
                <w:sz w:val="24"/>
                <w:szCs w:val="21"/>
                <w:lang w:eastAsia="en-US"/>
              </w:rPr>
            </w:pPr>
            <w:r>
              <w:rPr>
                <w:rFonts w:hint="eastAsia"/>
                <w:b/>
                <w:sz w:val="24"/>
                <w:szCs w:val="21"/>
                <w:lang w:eastAsia="en-US"/>
              </w:rPr>
              <w:t>组成成员</w:t>
            </w:r>
          </w:p>
        </w:tc>
        <w:tc>
          <w:tcPr>
            <w:tcW w:w="1505" w:type="dxa"/>
            <w:shd w:val="clear" w:color="auto" w:fill="D9D9D9"/>
            <w:vAlign w:val="center"/>
          </w:tcPr>
          <w:p>
            <w:pPr>
              <w:pStyle w:val="42"/>
              <w:spacing w:line="240" w:lineRule="auto"/>
              <w:ind w:firstLine="0" w:firstLineChars="0"/>
              <w:jc w:val="center"/>
              <w:rPr>
                <w:b/>
                <w:sz w:val="24"/>
                <w:szCs w:val="21"/>
                <w:lang w:eastAsia="en-US"/>
              </w:rPr>
            </w:pPr>
            <w:r>
              <w:rPr>
                <w:b/>
                <w:sz w:val="24"/>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rFonts w:hint="eastAsia"/>
                <w:sz w:val="21"/>
                <w:szCs w:val="21"/>
                <w:lang w:eastAsia="en-US"/>
              </w:rPr>
              <w:t>现场指挥长</w:t>
            </w:r>
          </w:p>
        </w:tc>
        <w:tc>
          <w:tcPr>
            <w:tcW w:w="6407" w:type="dxa"/>
            <w:shd w:val="clear" w:color="auto" w:fill="auto"/>
            <w:vAlign w:val="center"/>
          </w:tcPr>
          <w:p>
            <w:pPr>
              <w:pStyle w:val="42"/>
              <w:numPr>
                <w:ilvl w:val="0"/>
                <w:numId w:val="2"/>
              </w:numPr>
              <w:spacing w:line="240" w:lineRule="auto"/>
              <w:ind w:firstLineChars="0"/>
              <w:rPr>
                <w:sz w:val="21"/>
                <w:szCs w:val="21"/>
              </w:rPr>
            </w:pPr>
            <w:r>
              <w:rPr>
                <w:rFonts w:hint="eastAsia"/>
                <w:sz w:val="21"/>
                <w:szCs w:val="21"/>
              </w:rPr>
              <w:t>全面负责现场应急救援处置工作</w:t>
            </w:r>
          </w:p>
          <w:p>
            <w:pPr>
              <w:pStyle w:val="42"/>
              <w:numPr>
                <w:ilvl w:val="0"/>
                <w:numId w:val="2"/>
              </w:numPr>
              <w:spacing w:line="240" w:lineRule="auto"/>
              <w:ind w:firstLineChars="0"/>
              <w:rPr>
                <w:sz w:val="21"/>
                <w:szCs w:val="21"/>
              </w:rPr>
            </w:pPr>
            <w:r>
              <w:rPr>
                <w:rFonts w:hint="eastAsia"/>
                <w:sz w:val="21"/>
                <w:szCs w:val="21"/>
              </w:rPr>
              <w:t>执行省指挥部有关应急决策</w:t>
            </w:r>
          </w:p>
          <w:p>
            <w:pPr>
              <w:pStyle w:val="42"/>
              <w:numPr>
                <w:ilvl w:val="0"/>
                <w:numId w:val="2"/>
              </w:numPr>
              <w:spacing w:line="240" w:lineRule="auto"/>
              <w:ind w:firstLineChars="0"/>
              <w:rPr>
                <w:sz w:val="21"/>
                <w:szCs w:val="21"/>
              </w:rPr>
            </w:pPr>
            <w:r>
              <w:rPr>
                <w:rFonts w:hint="eastAsia"/>
                <w:sz w:val="21"/>
                <w:szCs w:val="21"/>
              </w:rPr>
              <w:t>负责应急整体安全、制定应急策略及救援计划</w:t>
            </w:r>
          </w:p>
          <w:p>
            <w:pPr>
              <w:pStyle w:val="42"/>
              <w:numPr>
                <w:ilvl w:val="0"/>
                <w:numId w:val="2"/>
              </w:numPr>
              <w:spacing w:line="240" w:lineRule="auto"/>
              <w:ind w:firstLineChars="0"/>
              <w:rPr>
                <w:sz w:val="21"/>
                <w:szCs w:val="21"/>
              </w:rPr>
            </w:pPr>
            <w:r>
              <w:rPr>
                <w:rFonts w:hint="eastAsia"/>
                <w:sz w:val="21"/>
                <w:szCs w:val="21"/>
              </w:rPr>
              <w:t>确保所有应急小组履行应急职责</w:t>
            </w:r>
          </w:p>
        </w:tc>
        <w:tc>
          <w:tcPr>
            <w:tcW w:w="4024" w:type="dxa"/>
            <w:shd w:val="clear" w:color="auto" w:fill="auto"/>
            <w:vAlign w:val="center"/>
          </w:tcPr>
          <w:p>
            <w:pPr>
              <w:pStyle w:val="42"/>
              <w:spacing w:line="240" w:lineRule="auto"/>
              <w:ind w:firstLine="0" w:firstLineChars="0"/>
              <w:rPr>
                <w:sz w:val="21"/>
                <w:szCs w:val="21"/>
                <w:lang w:eastAsia="en-US"/>
              </w:rPr>
            </w:pPr>
            <w:r>
              <w:rPr>
                <w:sz w:val="21"/>
                <w:szCs w:val="21"/>
                <w:lang w:eastAsia="en-US"/>
              </w:rPr>
              <w:t>由省指挥部指定</w:t>
            </w:r>
          </w:p>
        </w:tc>
        <w:tc>
          <w:tcPr>
            <w:tcW w:w="1505" w:type="dxa"/>
            <w:shd w:val="clear" w:color="auto" w:fill="auto"/>
            <w:vAlign w:val="center"/>
          </w:tcPr>
          <w:p>
            <w:pPr>
              <w:spacing w:line="240" w:lineRule="auto"/>
              <w:ind w:firstLine="0" w:firstLineChars="0"/>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9"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sz w:val="21"/>
                <w:szCs w:val="21"/>
                <w:lang w:eastAsia="en-US"/>
              </w:rPr>
              <w:t>分析研判组</w:t>
            </w:r>
          </w:p>
        </w:tc>
        <w:tc>
          <w:tcPr>
            <w:tcW w:w="6407" w:type="dxa"/>
            <w:shd w:val="clear" w:color="auto" w:fill="auto"/>
            <w:vAlign w:val="center"/>
          </w:tcPr>
          <w:p>
            <w:pPr>
              <w:pStyle w:val="42"/>
              <w:numPr>
                <w:ilvl w:val="0"/>
                <w:numId w:val="3"/>
              </w:numPr>
              <w:spacing w:line="240" w:lineRule="auto"/>
              <w:ind w:firstLineChars="0"/>
              <w:rPr>
                <w:sz w:val="21"/>
                <w:szCs w:val="21"/>
              </w:rPr>
            </w:pPr>
            <w:r>
              <w:rPr>
                <w:rFonts w:hint="eastAsia"/>
                <w:sz w:val="21"/>
                <w:szCs w:val="21"/>
              </w:rPr>
              <w:t>为应急救援行动的决策提供技术支持</w:t>
            </w:r>
          </w:p>
          <w:p>
            <w:pPr>
              <w:pStyle w:val="42"/>
              <w:numPr>
                <w:ilvl w:val="0"/>
                <w:numId w:val="3"/>
              </w:numPr>
              <w:spacing w:line="240" w:lineRule="auto"/>
              <w:ind w:firstLineChars="0"/>
              <w:rPr>
                <w:sz w:val="21"/>
                <w:szCs w:val="21"/>
              </w:rPr>
            </w:pPr>
            <w:r>
              <w:rPr>
                <w:rFonts w:hint="eastAsia"/>
                <w:sz w:val="21"/>
                <w:szCs w:val="21"/>
              </w:rPr>
              <w:t>对事故发展趋势、抢险救援方案提出建议</w:t>
            </w:r>
          </w:p>
          <w:p>
            <w:pPr>
              <w:pStyle w:val="42"/>
              <w:numPr>
                <w:ilvl w:val="0"/>
                <w:numId w:val="3"/>
              </w:numPr>
              <w:spacing w:line="240" w:lineRule="auto"/>
              <w:ind w:firstLineChars="0"/>
              <w:rPr>
                <w:sz w:val="21"/>
                <w:szCs w:val="21"/>
              </w:rPr>
            </w:pPr>
            <w:r>
              <w:rPr>
                <w:rFonts w:hint="eastAsia"/>
                <w:sz w:val="21"/>
                <w:szCs w:val="21"/>
              </w:rPr>
              <w:t>对涉事区域进行环境监测工作</w:t>
            </w:r>
          </w:p>
          <w:p>
            <w:pPr>
              <w:pStyle w:val="42"/>
              <w:numPr>
                <w:ilvl w:val="0"/>
                <w:numId w:val="3"/>
              </w:numPr>
              <w:spacing w:line="240" w:lineRule="auto"/>
              <w:ind w:firstLineChars="0"/>
              <w:rPr>
                <w:sz w:val="21"/>
                <w:szCs w:val="21"/>
              </w:rPr>
            </w:pPr>
            <w:r>
              <w:rPr>
                <w:rFonts w:hint="eastAsia"/>
                <w:sz w:val="21"/>
                <w:szCs w:val="21"/>
              </w:rPr>
              <w:t>提出控制污染扩散建议，防止发生环境污染次生灾害</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省应急厅、省生态环境厅、省气象局、省资规厅、事发地人民政府等部门和单位、应急专家</w:t>
            </w:r>
          </w:p>
        </w:tc>
        <w:tc>
          <w:tcPr>
            <w:tcW w:w="1505" w:type="dxa"/>
            <w:shd w:val="clear" w:color="auto" w:fill="auto"/>
            <w:vAlign w:val="center"/>
          </w:tcPr>
          <w:p>
            <w:pPr>
              <w:pStyle w:val="42"/>
              <w:spacing w:line="240" w:lineRule="auto"/>
              <w:ind w:firstLine="0" w:firstLineChars="0"/>
              <w:rPr>
                <w:sz w:val="21"/>
                <w:szCs w:val="21"/>
                <w:lang w:eastAsia="en-US"/>
              </w:rPr>
            </w:pPr>
            <w:r>
              <w:rPr>
                <w:rFonts w:hint="eastAsia"/>
                <w:sz w:val="21"/>
                <w:szCs w:val="21"/>
                <w:lang w:eastAsia="en-US"/>
              </w:rPr>
              <w:t>省应急厅牵头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rFonts w:hint="eastAsia"/>
                <w:sz w:val="21"/>
                <w:szCs w:val="21"/>
                <w:lang w:eastAsia="en-US"/>
              </w:rPr>
              <w:t>交通管控</w:t>
            </w:r>
            <w:r>
              <w:rPr>
                <w:sz w:val="21"/>
                <w:szCs w:val="21"/>
                <w:lang w:eastAsia="en-US"/>
              </w:rPr>
              <w:t>组</w:t>
            </w:r>
          </w:p>
        </w:tc>
        <w:tc>
          <w:tcPr>
            <w:tcW w:w="6407" w:type="dxa"/>
            <w:shd w:val="clear" w:color="auto" w:fill="auto"/>
            <w:vAlign w:val="center"/>
          </w:tcPr>
          <w:p>
            <w:pPr>
              <w:pStyle w:val="42"/>
              <w:numPr>
                <w:ilvl w:val="0"/>
                <w:numId w:val="4"/>
              </w:numPr>
              <w:spacing w:line="240" w:lineRule="auto"/>
              <w:ind w:firstLineChars="0"/>
              <w:rPr>
                <w:sz w:val="21"/>
                <w:szCs w:val="21"/>
              </w:rPr>
            </w:pPr>
            <w:r>
              <w:rPr>
                <w:rFonts w:hint="eastAsia"/>
                <w:sz w:val="21"/>
                <w:szCs w:val="21"/>
              </w:rPr>
              <w:t>组织事故可能危及区域有关人员的紧急疏散、撤离</w:t>
            </w:r>
          </w:p>
          <w:p>
            <w:pPr>
              <w:pStyle w:val="42"/>
              <w:numPr>
                <w:ilvl w:val="0"/>
                <w:numId w:val="4"/>
              </w:numPr>
              <w:spacing w:line="240" w:lineRule="auto"/>
              <w:ind w:firstLineChars="0"/>
              <w:rPr>
                <w:sz w:val="21"/>
                <w:szCs w:val="21"/>
              </w:rPr>
            </w:pPr>
            <w:r>
              <w:rPr>
                <w:rFonts w:hint="eastAsia"/>
                <w:sz w:val="21"/>
                <w:szCs w:val="21"/>
              </w:rPr>
              <w:t>保护事故现场，维护现场秩序</w:t>
            </w:r>
          </w:p>
          <w:p>
            <w:pPr>
              <w:pStyle w:val="42"/>
              <w:numPr>
                <w:ilvl w:val="0"/>
                <w:numId w:val="4"/>
              </w:numPr>
              <w:spacing w:line="240" w:lineRule="auto"/>
              <w:ind w:firstLineChars="0"/>
              <w:rPr>
                <w:sz w:val="21"/>
                <w:szCs w:val="21"/>
              </w:rPr>
            </w:pPr>
            <w:r>
              <w:rPr>
                <w:rFonts w:hint="eastAsia"/>
                <w:sz w:val="21"/>
                <w:szCs w:val="21"/>
              </w:rPr>
              <w:t>根据实际情况实行交通管控和疏导，开辟应急通道，保障应急处置人员、车辆和物资装备的应急通行需要</w:t>
            </w:r>
          </w:p>
          <w:p>
            <w:pPr>
              <w:pStyle w:val="42"/>
              <w:numPr>
                <w:ilvl w:val="0"/>
                <w:numId w:val="4"/>
              </w:numPr>
              <w:spacing w:line="240" w:lineRule="auto"/>
              <w:ind w:firstLineChars="0"/>
              <w:rPr>
                <w:sz w:val="21"/>
                <w:szCs w:val="21"/>
              </w:rPr>
            </w:pPr>
            <w:r>
              <w:rPr>
                <w:rFonts w:hint="eastAsia"/>
                <w:sz w:val="21"/>
                <w:szCs w:val="21"/>
              </w:rPr>
              <w:t>尽快恢复被毁交通路线</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省公安厅、省交通运输厅、事发地人民政府等部门和单位</w:t>
            </w:r>
          </w:p>
        </w:tc>
        <w:tc>
          <w:tcPr>
            <w:tcW w:w="1505" w:type="dxa"/>
            <w:shd w:val="clear" w:color="auto" w:fill="auto"/>
            <w:vAlign w:val="center"/>
          </w:tcPr>
          <w:p>
            <w:pPr>
              <w:pStyle w:val="42"/>
              <w:spacing w:line="240" w:lineRule="auto"/>
              <w:ind w:firstLine="0" w:firstLineChars="0"/>
              <w:rPr>
                <w:sz w:val="21"/>
                <w:szCs w:val="21"/>
                <w:lang w:eastAsia="en-US"/>
              </w:rPr>
            </w:pPr>
            <w:r>
              <w:rPr>
                <w:sz w:val="21"/>
                <w:szCs w:val="21"/>
                <w:lang w:eastAsia="en-US"/>
              </w:rPr>
              <w:t>省公安厅牵头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rFonts w:hint="eastAsia"/>
                <w:sz w:val="21"/>
                <w:szCs w:val="21"/>
                <w:lang w:eastAsia="en-US"/>
              </w:rPr>
              <w:t>综合协调组</w:t>
            </w:r>
          </w:p>
        </w:tc>
        <w:tc>
          <w:tcPr>
            <w:tcW w:w="6407" w:type="dxa"/>
            <w:shd w:val="clear" w:color="auto" w:fill="auto"/>
            <w:vAlign w:val="center"/>
          </w:tcPr>
          <w:p>
            <w:pPr>
              <w:pStyle w:val="42"/>
              <w:numPr>
                <w:ilvl w:val="0"/>
                <w:numId w:val="5"/>
              </w:numPr>
              <w:spacing w:line="240" w:lineRule="auto"/>
              <w:ind w:firstLineChars="0"/>
              <w:rPr>
                <w:sz w:val="21"/>
                <w:szCs w:val="21"/>
              </w:rPr>
            </w:pPr>
            <w:r>
              <w:rPr>
                <w:rFonts w:hint="eastAsia"/>
                <w:sz w:val="21"/>
                <w:szCs w:val="21"/>
              </w:rPr>
              <w:t>承担现场指挥部信息收集、指令的接收和转发</w:t>
            </w:r>
          </w:p>
          <w:p>
            <w:pPr>
              <w:pStyle w:val="42"/>
              <w:numPr>
                <w:ilvl w:val="0"/>
                <w:numId w:val="5"/>
              </w:numPr>
              <w:spacing w:line="240" w:lineRule="auto"/>
              <w:ind w:firstLineChars="0"/>
              <w:rPr>
                <w:sz w:val="21"/>
                <w:szCs w:val="21"/>
              </w:rPr>
            </w:pPr>
            <w:r>
              <w:rPr>
                <w:rFonts w:hint="eastAsia"/>
                <w:sz w:val="21"/>
                <w:szCs w:val="21"/>
              </w:rPr>
              <w:t>及时向省指挥部汇报现场救援情况</w:t>
            </w:r>
          </w:p>
          <w:p>
            <w:pPr>
              <w:pStyle w:val="42"/>
              <w:numPr>
                <w:ilvl w:val="0"/>
                <w:numId w:val="5"/>
              </w:numPr>
              <w:spacing w:line="240" w:lineRule="auto"/>
              <w:ind w:firstLineChars="0"/>
              <w:rPr>
                <w:sz w:val="21"/>
                <w:szCs w:val="21"/>
              </w:rPr>
            </w:pPr>
            <w:r>
              <w:rPr>
                <w:rFonts w:hint="eastAsia"/>
                <w:sz w:val="21"/>
                <w:szCs w:val="21"/>
              </w:rPr>
              <w:t>协调各方应急救援力量和资源</w:t>
            </w:r>
          </w:p>
          <w:p>
            <w:pPr>
              <w:pStyle w:val="42"/>
              <w:numPr>
                <w:ilvl w:val="0"/>
                <w:numId w:val="5"/>
              </w:numPr>
              <w:spacing w:line="240" w:lineRule="auto"/>
              <w:ind w:firstLineChars="0"/>
              <w:rPr>
                <w:sz w:val="21"/>
                <w:szCs w:val="21"/>
              </w:rPr>
            </w:pPr>
            <w:r>
              <w:rPr>
                <w:rFonts w:hint="eastAsia"/>
                <w:sz w:val="21"/>
                <w:szCs w:val="21"/>
              </w:rPr>
              <w:t>承办现场指挥部各类会议，督促落实现场指挥部议定事项</w:t>
            </w:r>
          </w:p>
          <w:p>
            <w:pPr>
              <w:pStyle w:val="42"/>
              <w:numPr>
                <w:ilvl w:val="0"/>
                <w:numId w:val="5"/>
              </w:numPr>
              <w:spacing w:line="240" w:lineRule="auto"/>
              <w:ind w:firstLineChars="0"/>
              <w:rPr>
                <w:sz w:val="21"/>
                <w:szCs w:val="21"/>
              </w:rPr>
            </w:pPr>
            <w:r>
              <w:rPr>
                <w:rFonts w:hint="eastAsia"/>
                <w:sz w:val="21"/>
                <w:szCs w:val="21"/>
              </w:rPr>
              <w:t>负责相关文件、影像资料的收集、整理、保管和归档等工作</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省应急厅、省公安厅、省交通运输厅、事发地人民政府等部门和单位</w:t>
            </w:r>
          </w:p>
        </w:tc>
        <w:tc>
          <w:tcPr>
            <w:tcW w:w="1505" w:type="dxa"/>
            <w:shd w:val="clear" w:color="auto" w:fill="auto"/>
            <w:vAlign w:val="center"/>
          </w:tcPr>
          <w:p>
            <w:pPr>
              <w:pStyle w:val="42"/>
              <w:spacing w:line="240" w:lineRule="auto"/>
              <w:ind w:firstLine="0" w:firstLineChars="0"/>
              <w:rPr>
                <w:sz w:val="21"/>
                <w:szCs w:val="21"/>
                <w:lang w:eastAsia="en-US"/>
              </w:rPr>
            </w:pPr>
            <w:r>
              <w:rPr>
                <w:rFonts w:hint="eastAsia"/>
                <w:sz w:val="21"/>
                <w:szCs w:val="21"/>
                <w:lang w:eastAsia="en-US"/>
              </w:rPr>
              <w:t>省应急厅牵头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sz w:val="21"/>
                <w:szCs w:val="21"/>
                <w:lang w:eastAsia="en-US"/>
              </w:rPr>
              <w:t>后勤保障组</w:t>
            </w:r>
          </w:p>
        </w:tc>
        <w:tc>
          <w:tcPr>
            <w:tcW w:w="6407" w:type="dxa"/>
            <w:shd w:val="clear" w:color="auto" w:fill="auto"/>
            <w:vAlign w:val="center"/>
          </w:tcPr>
          <w:p>
            <w:pPr>
              <w:pStyle w:val="42"/>
              <w:numPr>
                <w:ilvl w:val="0"/>
                <w:numId w:val="6"/>
              </w:numPr>
              <w:spacing w:line="240" w:lineRule="auto"/>
              <w:ind w:firstLineChars="0"/>
              <w:rPr>
                <w:sz w:val="21"/>
                <w:szCs w:val="21"/>
              </w:rPr>
            </w:pPr>
            <w:r>
              <w:rPr>
                <w:rFonts w:hint="eastAsia"/>
                <w:sz w:val="21"/>
                <w:szCs w:val="21"/>
              </w:rPr>
              <w:t>根据事故处置工作需求，及时提供物资、装备、食品、交通、供电、供水、供气和通信等方面的后勤服务和资源保障</w:t>
            </w:r>
          </w:p>
          <w:p>
            <w:pPr>
              <w:pStyle w:val="42"/>
              <w:numPr>
                <w:ilvl w:val="0"/>
                <w:numId w:val="6"/>
              </w:numPr>
              <w:spacing w:line="240" w:lineRule="auto"/>
              <w:ind w:firstLineChars="0"/>
              <w:rPr>
                <w:sz w:val="21"/>
                <w:szCs w:val="21"/>
              </w:rPr>
            </w:pPr>
            <w:r>
              <w:rPr>
                <w:rFonts w:hint="eastAsia"/>
                <w:sz w:val="21"/>
                <w:szCs w:val="21"/>
              </w:rPr>
              <w:t>负责受灾群众、遇难（失联）人员亲属信息登记、食宿接待和安抚疏导等工作</w:t>
            </w:r>
          </w:p>
          <w:p>
            <w:pPr>
              <w:pStyle w:val="42"/>
              <w:numPr>
                <w:ilvl w:val="0"/>
                <w:numId w:val="6"/>
              </w:numPr>
              <w:spacing w:line="240" w:lineRule="auto"/>
              <w:ind w:firstLineChars="0"/>
              <w:rPr>
                <w:sz w:val="21"/>
                <w:szCs w:val="21"/>
              </w:rPr>
            </w:pPr>
            <w:r>
              <w:rPr>
                <w:rFonts w:hint="eastAsia"/>
                <w:sz w:val="21"/>
                <w:szCs w:val="21"/>
              </w:rPr>
              <w:t>负责遇难者遗体处置等工作</w:t>
            </w:r>
          </w:p>
          <w:p>
            <w:pPr>
              <w:pStyle w:val="42"/>
              <w:numPr>
                <w:ilvl w:val="0"/>
                <w:numId w:val="6"/>
              </w:numPr>
              <w:spacing w:line="240" w:lineRule="auto"/>
              <w:ind w:firstLineChars="0"/>
              <w:rPr>
                <w:sz w:val="21"/>
                <w:szCs w:val="21"/>
              </w:rPr>
            </w:pPr>
            <w:r>
              <w:rPr>
                <w:rFonts w:hint="eastAsia"/>
                <w:sz w:val="21"/>
                <w:szCs w:val="21"/>
              </w:rPr>
              <w:t>负责遇难和受灾人员的经济补偿等工作</w:t>
            </w:r>
          </w:p>
          <w:p>
            <w:pPr>
              <w:pStyle w:val="42"/>
              <w:numPr>
                <w:ilvl w:val="0"/>
                <w:numId w:val="6"/>
              </w:numPr>
              <w:spacing w:line="240" w:lineRule="auto"/>
              <w:ind w:firstLineChars="0"/>
              <w:rPr>
                <w:sz w:val="21"/>
                <w:szCs w:val="21"/>
              </w:rPr>
            </w:pPr>
            <w:r>
              <w:rPr>
                <w:rFonts w:hint="eastAsia"/>
                <w:sz w:val="21"/>
                <w:szCs w:val="21"/>
              </w:rPr>
              <w:t>负责灾后恢复重建等工作</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省应急厅、省财政厅、省交通运输厅、省卫健委、省工信厅、省通信管理局、海南电网公司、事发地人民政府等部门和单位</w:t>
            </w:r>
          </w:p>
        </w:tc>
        <w:tc>
          <w:tcPr>
            <w:tcW w:w="1505" w:type="dxa"/>
            <w:shd w:val="clear" w:color="auto" w:fill="auto"/>
            <w:vAlign w:val="center"/>
          </w:tcPr>
          <w:p>
            <w:pPr>
              <w:pStyle w:val="42"/>
              <w:spacing w:line="240" w:lineRule="auto"/>
              <w:ind w:firstLine="0" w:firstLineChars="0"/>
              <w:rPr>
                <w:sz w:val="21"/>
                <w:szCs w:val="21"/>
                <w:lang w:eastAsia="en-US"/>
              </w:rPr>
            </w:pPr>
            <w:r>
              <w:rPr>
                <w:rFonts w:hint="eastAsia"/>
                <w:sz w:val="21"/>
                <w:szCs w:val="21"/>
                <w:lang w:eastAsia="en-US"/>
              </w:rPr>
              <w:t>省应急厅牵头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0"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rFonts w:hint="eastAsia"/>
                <w:sz w:val="21"/>
                <w:szCs w:val="21"/>
                <w:lang w:eastAsia="en-US"/>
              </w:rPr>
              <w:t>现场救援</w:t>
            </w:r>
            <w:r>
              <w:rPr>
                <w:sz w:val="21"/>
                <w:szCs w:val="21"/>
                <w:lang w:eastAsia="en-US"/>
              </w:rPr>
              <w:t>组</w:t>
            </w:r>
          </w:p>
        </w:tc>
        <w:tc>
          <w:tcPr>
            <w:tcW w:w="6407" w:type="dxa"/>
            <w:shd w:val="clear" w:color="auto" w:fill="auto"/>
            <w:vAlign w:val="center"/>
          </w:tcPr>
          <w:p>
            <w:pPr>
              <w:pStyle w:val="42"/>
              <w:numPr>
                <w:ilvl w:val="0"/>
                <w:numId w:val="7"/>
              </w:numPr>
              <w:spacing w:line="240" w:lineRule="auto"/>
              <w:ind w:firstLineChars="0"/>
              <w:rPr>
                <w:sz w:val="21"/>
                <w:szCs w:val="21"/>
              </w:rPr>
            </w:pPr>
            <w:r>
              <w:rPr>
                <w:rFonts w:hint="eastAsia"/>
                <w:sz w:val="21"/>
                <w:szCs w:val="21"/>
              </w:rPr>
              <w:t>实施事故处置、人员搜救、工程抢险和事故现场清理等工作</w:t>
            </w:r>
          </w:p>
          <w:p>
            <w:pPr>
              <w:pStyle w:val="42"/>
              <w:numPr>
                <w:ilvl w:val="0"/>
                <w:numId w:val="7"/>
              </w:numPr>
              <w:spacing w:line="240" w:lineRule="auto"/>
              <w:ind w:firstLineChars="0"/>
              <w:rPr>
                <w:sz w:val="21"/>
                <w:szCs w:val="21"/>
              </w:rPr>
            </w:pPr>
            <w:r>
              <w:rPr>
                <w:rFonts w:hint="eastAsia"/>
                <w:sz w:val="21"/>
                <w:szCs w:val="21"/>
              </w:rPr>
              <w:t>控制危险源，防止次生、衍生事故发生</w:t>
            </w:r>
          </w:p>
          <w:p>
            <w:pPr>
              <w:pStyle w:val="42"/>
              <w:numPr>
                <w:ilvl w:val="0"/>
                <w:numId w:val="7"/>
              </w:numPr>
              <w:spacing w:line="240" w:lineRule="auto"/>
              <w:ind w:firstLineChars="0"/>
              <w:rPr>
                <w:sz w:val="21"/>
                <w:szCs w:val="21"/>
              </w:rPr>
            </w:pPr>
            <w:r>
              <w:rPr>
                <w:rFonts w:hint="eastAsia"/>
                <w:sz w:val="21"/>
                <w:szCs w:val="21"/>
              </w:rPr>
              <w:t>为事故调查收集有关资料</w:t>
            </w:r>
          </w:p>
          <w:p>
            <w:pPr>
              <w:pStyle w:val="42"/>
              <w:numPr>
                <w:ilvl w:val="0"/>
                <w:numId w:val="7"/>
              </w:numPr>
              <w:spacing w:line="240" w:lineRule="auto"/>
              <w:ind w:firstLineChars="0"/>
              <w:rPr>
                <w:sz w:val="21"/>
                <w:szCs w:val="21"/>
              </w:rPr>
            </w:pPr>
            <w:r>
              <w:rPr>
                <w:rFonts w:hint="eastAsia"/>
                <w:sz w:val="21"/>
                <w:szCs w:val="21"/>
              </w:rPr>
              <w:t>调度全省医疗队伍，设立临时医疗点，协调外部医疗机构</w:t>
            </w:r>
          </w:p>
          <w:p>
            <w:pPr>
              <w:pStyle w:val="42"/>
              <w:numPr>
                <w:ilvl w:val="0"/>
                <w:numId w:val="7"/>
              </w:numPr>
              <w:spacing w:line="240" w:lineRule="auto"/>
              <w:ind w:firstLineChars="0"/>
              <w:rPr>
                <w:sz w:val="21"/>
                <w:szCs w:val="21"/>
              </w:rPr>
            </w:pPr>
            <w:r>
              <w:rPr>
                <w:rFonts w:hint="eastAsia"/>
                <w:sz w:val="21"/>
                <w:szCs w:val="21"/>
              </w:rPr>
              <w:t>为事故受伤人员、救援人员提供医疗保障服务</w:t>
            </w:r>
          </w:p>
          <w:p>
            <w:pPr>
              <w:pStyle w:val="42"/>
              <w:numPr>
                <w:ilvl w:val="0"/>
                <w:numId w:val="7"/>
              </w:numPr>
              <w:spacing w:line="240" w:lineRule="auto"/>
              <w:ind w:firstLineChars="0"/>
              <w:rPr>
                <w:sz w:val="21"/>
                <w:szCs w:val="21"/>
              </w:rPr>
            </w:pPr>
            <w:r>
              <w:rPr>
                <w:rFonts w:hint="eastAsia"/>
                <w:sz w:val="21"/>
                <w:szCs w:val="21"/>
              </w:rPr>
              <w:t>负责现场救援区域的防疫消毒</w:t>
            </w:r>
          </w:p>
          <w:p>
            <w:pPr>
              <w:pStyle w:val="42"/>
              <w:numPr>
                <w:ilvl w:val="0"/>
                <w:numId w:val="7"/>
              </w:numPr>
              <w:spacing w:line="240" w:lineRule="auto"/>
              <w:ind w:firstLineChars="0"/>
              <w:rPr>
                <w:sz w:val="21"/>
                <w:szCs w:val="21"/>
              </w:rPr>
            </w:pPr>
            <w:r>
              <w:rPr>
                <w:rFonts w:hint="eastAsia"/>
                <w:sz w:val="21"/>
                <w:szCs w:val="21"/>
              </w:rPr>
              <w:t>向受伤人员和受灾群众提供心理咨询和帮助</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省消防救援总队、省卫健委、省公安厅、省交通运输厅、事发地人民政府等部门和单位、应急专家</w:t>
            </w:r>
          </w:p>
        </w:tc>
        <w:tc>
          <w:tcPr>
            <w:tcW w:w="1505" w:type="dxa"/>
            <w:shd w:val="clear" w:color="auto" w:fill="auto"/>
            <w:vAlign w:val="center"/>
          </w:tcPr>
          <w:p>
            <w:pPr>
              <w:pStyle w:val="42"/>
              <w:spacing w:line="240" w:lineRule="auto"/>
              <w:ind w:firstLine="0" w:firstLineChars="0"/>
              <w:rPr>
                <w:sz w:val="21"/>
                <w:szCs w:val="21"/>
              </w:rPr>
            </w:pPr>
            <w:r>
              <w:rPr>
                <w:rFonts w:hint="eastAsia"/>
                <w:sz w:val="21"/>
                <w:szCs w:val="21"/>
              </w:rPr>
              <w:t>事发地市县人民政府</w:t>
            </w:r>
            <w:r>
              <w:rPr>
                <w:sz w:val="21"/>
                <w:szCs w:val="21"/>
              </w:rPr>
              <w:t>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1" w:hRule="exact"/>
          <w:jc w:val="center"/>
        </w:trPr>
        <w:tc>
          <w:tcPr>
            <w:tcW w:w="2002" w:type="dxa"/>
            <w:shd w:val="clear" w:color="auto" w:fill="auto"/>
            <w:vAlign w:val="center"/>
          </w:tcPr>
          <w:p>
            <w:pPr>
              <w:pStyle w:val="42"/>
              <w:spacing w:line="240" w:lineRule="auto"/>
              <w:ind w:firstLine="0" w:firstLineChars="0"/>
              <w:jc w:val="center"/>
              <w:rPr>
                <w:sz w:val="21"/>
                <w:szCs w:val="21"/>
                <w:lang w:eastAsia="en-US"/>
              </w:rPr>
            </w:pPr>
            <w:r>
              <w:rPr>
                <w:rFonts w:hint="eastAsia"/>
                <w:sz w:val="21"/>
                <w:szCs w:val="21"/>
                <w:lang w:eastAsia="en-US"/>
              </w:rPr>
              <w:t>新闻发布</w:t>
            </w:r>
            <w:r>
              <w:rPr>
                <w:sz w:val="21"/>
                <w:szCs w:val="21"/>
                <w:lang w:eastAsia="en-US"/>
              </w:rPr>
              <w:t>组</w:t>
            </w:r>
          </w:p>
        </w:tc>
        <w:tc>
          <w:tcPr>
            <w:tcW w:w="6407" w:type="dxa"/>
            <w:shd w:val="clear" w:color="auto" w:fill="auto"/>
            <w:vAlign w:val="center"/>
          </w:tcPr>
          <w:p>
            <w:pPr>
              <w:pStyle w:val="42"/>
              <w:numPr>
                <w:ilvl w:val="0"/>
                <w:numId w:val="8"/>
              </w:numPr>
              <w:spacing w:line="240" w:lineRule="auto"/>
              <w:ind w:firstLineChars="0"/>
              <w:rPr>
                <w:sz w:val="21"/>
                <w:szCs w:val="21"/>
              </w:rPr>
            </w:pPr>
            <w:r>
              <w:rPr>
                <w:rFonts w:hint="eastAsia"/>
                <w:sz w:val="21"/>
                <w:szCs w:val="21"/>
              </w:rPr>
              <w:t>统筹协调媒体的现场管理，做好事件舆论引导工作，组织新闻发布工作</w:t>
            </w:r>
          </w:p>
          <w:p>
            <w:pPr>
              <w:pStyle w:val="42"/>
              <w:numPr>
                <w:ilvl w:val="0"/>
                <w:numId w:val="8"/>
              </w:numPr>
              <w:spacing w:line="240" w:lineRule="auto"/>
              <w:ind w:firstLineChars="0"/>
              <w:rPr>
                <w:sz w:val="21"/>
                <w:szCs w:val="21"/>
              </w:rPr>
            </w:pPr>
            <w:r>
              <w:rPr>
                <w:rFonts w:hint="eastAsia"/>
                <w:sz w:val="21"/>
                <w:szCs w:val="21"/>
              </w:rPr>
              <w:t>负责新闻发布和集体采访活动的组织工作</w:t>
            </w:r>
          </w:p>
          <w:p>
            <w:pPr>
              <w:pStyle w:val="42"/>
              <w:numPr>
                <w:ilvl w:val="0"/>
                <w:numId w:val="8"/>
              </w:numPr>
              <w:spacing w:line="240" w:lineRule="auto"/>
              <w:ind w:firstLineChars="0"/>
              <w:rPr>
                <w:sz w:val="21"/>
                <w:szCs w:val="21"/>
              </w:rPr>
            </w:pPr>
            <w:r>
              <w:rPr>
                <w:rFonts w:hint="eastAsia"/>
                <w:sz w:val="21"/>
                <w:szCs w:val="21"/>
              </w:rPr>
              <w:t>负责境内外媒体沟通协调和组织联络工作</w:t>
            </w:r>
          </w:p>
          <w:p>
            <w:pPr>
              <w:pStyle w:val="42"/>
              <w:numPr>
                <w:ilvl w:val="0"/>
                <w:numId w:val="8"/>
              </w:numPr>
              <w:spacing w:line="240" w:lineRule="auto"/>
              <w:ind w:firstLineChars="0"/>
              <w:rPr>
                <w:sz w:val="21"/>
                <w:szCs w:val="21"/>
              </w:rPr>
            </w:pPr>
            <w:r>
              <w:rPr>
                <w:rFonts w:hint="eastAsia"/>
                <w:sz w:val="21"/>
                <w:szCs w:val="21"/>
              </w:rPr>
              <w:t>向省指挥部和事故相关单位、辖区政府通报舆情进展，提出应对建议</w:t>
            </w:r>
          </w:p>
        </w:tc>
        <w:tc>
          <w:tcPr>
            <w:tcW w:w="4024" w:type="dxa"/>
            <w:shd w:val="clear" w:color="auto" w:fill="auto"/>
            <w:vAlign w:val="center"/>
          </w:tcPr>
          <w:p>
            <w:pPr>
              <w:pStyle w:val="42"/>
              <w:spacing w:line="240" w:lineRule="auto"/>
              <w:ind w:firstLine="0" w:firstLineChars="0"/>
              <w:rPr>
                <w:sz w:val="21"/>
                <w:szCs w:val="21"/>
              </w:rPr>
            </w:pPr>
            <w:r>
              <w:rPr>
                <w:rFonts w:hint="eastAsia"/>
                <w:sz w:val="21"/>
                <w:szCs w:val="21"/>
              </w:rPr>
              <w:t xml:space="preserve">省委宣传部、省应急厅、事发地人民政府等部门和单位 </w:t>
            </w:r>
          </w:p>
        </w:tc>
        <w:tc>
          <w:tcPr>
            <w:tcW w:w="1505" w:type="dxa"/>
            <w:shd w:val="clear" w:color="auto" w:fill="auto"/>
            <w:vAlign w:val="center"/>
          </w:tcPr>
          <w:p>
            <w:pPr>
              <w:pStyle w:val="42"/>
              <w:spacing w:line="240" w:lineRule="auto"/>
              <w:ind w:firstLine="0" w:firstLineChars="0"/>
              <w:rPr>
                <w:sz w:val="21"/>
                <w:szCs w:val="21"/>
                <w:lang w:eastAsia="en-US"/>
              </w:rPr>
            </w:pPr>
            <w:r>
              <w:rPr>
                <w:sz w:val="21"/>
                <w:szCs w:val="21"/>
                <w:lang w:eastAsia="en-US"/>
              </w:rPr>
              <w:t>省委宣传部牵头</w:t>
            </w:r>
          </w:p>
        </w:tc>
      </w:tr>
    </w:tbl>
    <w:p>
      <w:pPr>
        <w:sectPr>
          <w:pgSz w:w="16838" w:h="11906" w:orient="landscape"/>
          <w:pgMar w:top="1588" w:right="1701" w:bottom="1474" w:left="1134" w:header="851" w:footer="0" w:gutter="0"/>
          <w:pgNumType w:fmt="numberInDash"/>
          <w:cols w:space="425" w:num="1"/>
          <w:docGrid w:type="linesAndChars" w:linePitch="332" w:charSpace="0"/>
        </w:sectPr>
      </w:pPr>
    </w:p>
    <w:p>
      <w:pPr>
        <w:pStyle w:val="3"/>
      </w:pPr>
      <w:bookmarkStart w:id="12" w:name="_Toc88998113"/>
      <w:r>
        <w:rPr>
          <w:rFonts w:hint="eastAsia"/>
        </w:rPr>
        <w:t>3</w:t>
      </w:r>
      <w:r>
        <w:t>.</w:t>
      </w:r>
      <w:r>
        <w:rPr>
          <w:rFonts w:hint="eastAsia"/>
        </w:rPr>
        <w:t>4</w:t>
      </w:r>
      <w:r>
        <w:t xml:space="preserve"> </w:t>
      </w:r>
      <w:r>
        <w:rPr>
          <w:rFonts w:hint="eastAsia"/>
        </w:rPr>
        <w:t>部门</w:t>
      </w:r>
      <w:r>
        <w:t>职责</w:t>
      </w:r>
      <w:bookmarkEnd w:id="12"/>
    </w:p>
    <w:p>
      <w:pPr>
        <w:ind w:firstLine="594"/>
      </w:pPr>
      <w:r>
        <w:rPr>
          <w:rFonts w:hint="eastAsia"/>
        </w:rPr>
        <w:t>省人民政府其他</w:t>
      </w:r>
      <w:r>
        <w:t>有关部门根据相关应急预案，</w:t>
      </w:r>
      <w:r>
        <w:rPr>
          <w:rFonts w:hint="eastAsia"/>
        </w:rPr>
        <w:t>参与非煤矿山产安全事故</w:t>
      </w:r>
      <w:r>
        <w:t>的应急救援工作，为事故</w:t>
      </w:r>
      <w:r>
        <w:rPr>
          <w:rFonts w:hint="eastAsia"/>
        </w:rPr>
        <w:t>应急救援处置</w:t>
      </w:r>
      <w:r>
        <w:t>提供</w:t>
      </w:r>
      <w:r>
        <w:rPr>
          <w:rFonts w:hint="eastAsia"/>
        </w:rPr>
        <w:t>应急</w:t>
      </w:r>
      <w:r>
        <w:t>保障。</w:t>
      </w:r>
      <w:r>
        <w:rPr>
          <w:rFonts w:hint="eastAsia"/>
        </w:rPr>
        <w:t>（职责详见附则 9.</w:t>
      </w:r>
      <w:r>
        <w:t>1</w:t>
      </w:r>
      <w:r>
        <w:rPr>
          <w:rFonts w:hint="eastAsia"/>
        </w:rPr>
        <w:t>）</w:t>
      </w:r>
    </w:p>
    <w:p>
      <w:pPr>
        <w:pStyle w:val="3"/>
      </w:pPr>
      <w:bookmarkStart w:id="13" w:name="_Toc88998114"/>
      <w:r>
        <w:rPr>
          <w:rFonts w:hint="eastAsia"/>
        </w:rPr>
        <w:t>3.5</w:t>
      </w:r>
      <w:r>
        <w:t xml:space="preserve"> </w:t>
      </w:r>
      <w:r>
        <w:rPr>
          <w:rFonts w:hint="eastAsia"/>
        </w:rPr>
        <w:t>专家及职责</w:t>
      </w:r>
      <w:bookmarkEnd w:id="13"/>
    </w:p>
    <w:p>
      <w:pPr>
        <w:ind w:firstLine="594"/>
      </w:pPr>
      <w:r>
        <w:rPr>
          <w:rFonts w:hint="eastAsia"/>
        </w:rPr>
        <w:t>非煤矿山应急救援专家组（以下简称“专家组”），由非煤矿山领域和其他相关行业技术和管理专家组成。</w:t>
      </w:r>
    </w:p>
    <w:p>
      <w:pPr>
        <w:ind w:firstLine="594"/>
      </w:pPr>
      <w:r>
        <w:rPr>
          <w:rFonts w:hint="eastAsia"/>
        </w:rPr>
        <w:t>相关专家接到指令后应尽快赶赴指定地点或通过网络、电话联络等手段，为应急救援工作提供专业咨询和技术支持，为事故救援处置提供辅助决策建议，必要时可参与现场技术鉴定工作。</w:t>
      </w:r>
    </w:p>
    <w:p>
      <w:pPr>
        <w:pStyle w:val="2"/>
      </w:pPr>
      <w:bookmarkStart w:id="14" w:name="_Toc88998115"/>
      <w:r>
        <w:rPr>
          <w:rFonts w:hint="eastAsia"/>
        </w:rPr>
        <w:t>4</w:t>
      </w:r>
      <w:r>
        <w:t xml:space="preserve"> </w:t>
      </w:r>
      <w:r>
        <w:rPr>
          <w:rFonts w:hint="eastAsia"/>
        </w:rPr>
        <w:t>预警与信息报告</w:t>
      </w:r>
      <w:bookmarkEnd w:id="14"/>
    </w:p>
    <w:p>
      <w:pPr>
        <w:pStyle w:val="3"/>
      </w:pPr>
      <w:bookmarkStart w:id="15" w:name="_Toc88998116"/>
      <w:r>
        <w:rPr>
          <w:rFonts w:hint="eastAsia"/>
        </w:rPr>
        <w:t>4</w:t>
      </w:r>
      <w:r>
        <w:t>.</w:t>
      </w:r>
      <w:r>
        <w:rPr>
          <w:rFonts w:hint="eastAsia"/>
        </w:rPr>
        <w:t>1</w:t>
      </w:r>
      <w:r>
        <w:t xml:space="preserve"> 监测</w:t>
      </w:r>
      <w:bookmarkEnd w:id="15"/>
    </w:p>
    <w:p>
      <w:pPr>
        <w:ind w:firstLine="594"/>
      </w:pPr>
      <w:r>
        <w:rPr>
          <w:rFonts w:hint="eastAsia"/>
        </w:rPr>
        <w:t>各级应急部门根据区域企业安全生产状况和风险程度，进行安全风险分级，对企业实行差异化和动态化安全监管的过程，建立风险评估分级结果和管控措施报告制度。综合评估非煤矿山企业的管理水平、人员素质和安全业绩等因素，结合安全生产标准化评级和专家“会诊”结果，将非煤矿山企业安全生产风险等级从低到高划分为</w:t>
      </w:r>
      <w:r>
        <w:t>A、B、C、D四个级别，A为一般风险、B为较高风险、C为高风险、D为最高风险。</w:t>
      </w:r>
      <w:r>
        <w:rPr>
          <w:rFonts w:hint="eastAsia"/>
        </w:rPr>
        <w:t>非煤矿山企业安全生产风险分级实行动态管理，根据企业安全生产风险变化情况及时调整风险级别，一般采用逐级升降的形式，特殊情况可越级升降。</w:t>
      </w:r>
    </w:p>
    <w:p>
      <w:pPr>
        <w:ind w:firstLine="594"/>
      </w:pPr>
      <w:r>
        <w:rPr>
          <w:rFonts w:hint="eastAsia"/>
        </w:rPr>
        <w:t>对地下矿山、尾矿库企业的监督检查时，市县应急部门每年应至少组织一次专家“会诊”，邀请两名或两名以上的矿山专家，对矿山进行全面检查。</w:t>
      </w:r>
    </w:p>
    <w:p>
      <w:pPr>
        <w:ind w:firstLine="594"/>
      </w:pPr>
      <w:r>
        <w:rPr>
          <w:rFonts w:hint="eastAsia"/>
        </w:rPr>
        <w:t>对露天矿山的检查，市县应急部门可根据被检查矿山实际情况，自行决定是否邀请矿山专家进行“会诊”。</w:t>
      </w:r>
    </w:p>
    <w:p>
      <w:pPr>
        <w:pStyle w:val="3"/>
      </w:pPr>
      <w:bookmarkStart w:id="16" w:name="_Toc88998117"/>
      <w:r>
        <w:rPr>
          <w:rFonts w:hint="eastAsia"/>
        </w:rPr>
        <w:t>4.2 预警</w:t>
      </w:r>
      <w:bookmarkEnd w:id="16"/>
    </w:p>
    <w:p>
      <w:pPr>
        <w:ind w:firstLine="594"/>
      </w:pPr>
      <w:r>
        <w:rPr>
          <w:rFonts w:hint="eastAsia"/>
        </w:rPr>
        <w:t>可以预警的非煤矿山生产安全事故的预警级别，按照突发事件发生的紧急程度、发展态势和可能造成的危害程度由高到低分为一级、二级、三级、四级，分别用红色、橙色、黄色和蓝色标示。预警信息实行动态管理制度：发布预警信息的人民政府要根据事态的发展，适时调整预警级别和宣布解除警报，并重新发布、报告和通报有关情况。</w:t>
      </w:r>
    </w:p>
    <w:p>
      <w:pPr>
        <w:ind w:firstLine="594"/>
      </w:pPr>
      <w:r>
        <w:rPr>
          <w:rFonts w:hint="eastAsia"/>
        </w:rPr>
        <w:t>由各级人民政府和有关部门根据预警发布权限规定，通过相关公共信息平台，发布非煤矿山生产安全事故预警信息。预警信息包括发布单位、发布时间、可能发生突发事件的类别、可能影响时间和范围、预警级别、警示事项、事态发展、政府相关措施、咨询渠道等内容。</w:t>
      </w:r>
    </w:p>
    <w:p>
      <w:pPr>
        <w:pStyle w:val="3"/>
      </w:pPr>
      <w:bookmarkStart w:id="17" w:name="_Toc54858541"/>
      <w:bookmarkStart w:id="18" w:name="_Toc88998118"/>
      <w:r>
        <w:rPr>
          <w:rFonts w:hint="eastAsia"/>
        </w:rPr>
        <w:t>4.3 信息</w:t>
      </w:r>
      <w:bookmarkEnd w:id="17"/>
      <w:r>
        <w:rPr>
          <w:rFonts w:hint="eastAsia"/>
        </w:rPr>
        <w:t>上报</w:t>
      </w:r>
      <w:bookmarkEnd w:id="18"/>
    </w:p>
    <w:p>
      <w:pPr>
        <w:ind w:firstLine="594"/>
      </w:pPr>
      <w:r>
        <w:rPr>
          <w:rFonts w:hint="eastAsia"/>
        </w:rPr>
        <w:t>事故发生后，事故现场有关人员应当立即向本单位负责人报告。单位负责人接到报告后，应当于</w:t>
      </w:r>
      <w:r>
        <w:t>1小时内向事故发生地县级以上应急管理部门和有关部门报告。</w:t>
      </w:r>
    </w:p>
    <w:p>
      <w:pPr>
        <w:ind w:firstLine="594"/>
      </w:pPr>
      <w:r>
        <w:t>发生地县级以上应急管理部门和有关部门</w:t>
      </w:r>
      <w:r>
        <w:rPr>
          <w:rFonts w:hint="eastAsia"/>
        </w:rPr>
        <w:t>上报时限不得超过</w:t>
      </w:r>
      <w:r>
        <w:t>1</w:t>
      </w:r>
      <w:r>
        <w:rPr>
          <w:rFonts w:hint="eastAsia"/>
        </w:rPr>
        <w:t>小时，不得迟报、漏报、谎报或者瞒报，同时通报可能受影响的地区、部门和企业，情况特别紧急时，可越级上报。</w:t>
      </w:r>
    </w:p>
    <w:p>
      <w:pPr>
        <w:ind w:firstLine="594"/>
      </w:pPr>
      <w:r>
        <w:rPr>
          <w:rFonts w:hint="eastAsia"/>
        </w:rPr>
        <w:t>省应急厅、省公安厅实行</w:t>
      </w:r>
      <w:r>
        <w:t>24小时值守制度，随时接收事故报告信息，并及时</w:t>
      </w:r>
      <w:r>
        <w:rPr>
          <w:rFonts w:hint="eastAsia"/>
        </w:rPr>
        <w:t>上</w:t>
      </w:r>
      <w:r>
        <w:t>报省政府值班室和</w:t>
      </w:r>
      <w:r>
        <w:rPr>
          <w:rFonts w:hint="eastAsia"/>
        </w:rPr>
        <w:t>国务院安委办</w:t>
      </w:r>
      <w:r>
        <w:t>。</w:t>
      </w:r>
    </w:p>
    <w:p>
      <w:pPr>
        <w:ind w:firstLine="594"/>
      </w:pPr>
      <w:r>
        <w:rPr>
          <w:rFonts w:hint="eastAsia"/>
        </w:rPr>
        <w:t>信息报告要简明扼要、清晰准确。事故报告内容应包括：事故发生单位概况，事故发生的时间、地点、简要经过、信息来源，事故可能造成的危害程度、影响范围、伤亡人数、直接经济损失，已采取的应急处置措施，目前事故处置进展情况，下一步拟采取的措施等。</w:t>
      </w:r>
    </w:p>
    <w:p>
      <w:pPr>
        <w:pStyle w:val="2"/>
      </w:pPr>
      <w:bookmarkStart w:id="19" w:name="_Toc88998119"/>
      <w:r>
        <w:rPr>
          <w:rFonts w:hint="eastAsia"/>
        </w:rPr>
        <w:t>5</w:t>
      </w:r>
      <w:r>
        <w:t xml:space="preserve"> </w:t>
      </w:r>
      <w:r>
        <w:rPr>
          <w:rFonts w:hint="eastAsia"/>
        </w:rPr>
        <w:t>响应程序</w:t>
      </w:r>
      <w:bookmarkEnd w:id="19"/>
    </w:p>
    <w:p>
      <w:pPr>
        <w:pStyle w:val="3"/>
      </w:pPr>
      <w:bookmarkStart w:id="20" w:name="_Toc88998120"/>
      <w:r>
        <w:rPr>
          <w:rFonts w:hint="eastAsia"/>
        </w:rPr>
        <w:t>5.</w:t>
      </w:r>
      <w:r>
        <w:t xml:space="preserve">1 </w:t>
      </w:r>
      <w:r>
        <w:rPr>
          <w:rFonts w:hint="eastAsia"/>
        </w:rPr>
        <w:t>事故分级</w:t>
      </w:r>
      <w:bookmarkEnd w:id="20"/>
    </w:p>
    <w:p>
      <w:pPr>
        <w:ind w:firstLine="594"/>
      </w:pPr>
      <w:r>
        <w:rPr>
          <w:rFonts w:hint="eastAsia"/>
        </w:rPr>
        <w:t>根据造成的人员伤亡或直接经济损失等，非煤矿山生产安全事故分为一般、较大、重大和特别重大。</w:t>
      </w:r>
    </w:p>
    <w:p>
      <w:pPr>
        <w:ind w:firstLine="594"/>
      </w:pPr>
      <w:r>
        <w:rPr>
          <w:rFonts w:hint="eastAsia"/>
        </w:rPr>
        <w:t>（</w:t>
      </w:r>
      <w:r>
        <w:rPr>
          <w:rFonts w:hint="eastAsia" w:ascii="Times New Roman" w:hAnsi="Times New Roman"/>
        </w:rPr>
        <w:t>1</w:t>
      </w:r>
      <w:r>
        <w:rPr>
          <w:rFonts w:hint="eastAsia"/>
        </w:rPr>
        <w:t>）一般事故：造成</w:t>
      </w:r>
      <w:r>
        <w:rPr>
          <w:rFonts w:hint="eastAsia" w:ascii="Times New Roman" w:hAnsi="Times New Roman"/>
        </w:rPr>
        <w:t>3</w:t>
      </w:r>
      <w:r>
        <w:rPr>
          <w:rFonts w:hint="eastAsia"/>
        </w:rPr>
        <w:t>人以下死亡，或者</w:t>
      </w:r>
      <w:r>
        <w:rPr>
          <w:rFonts w:hint="eastAsia" w:ascii="Times New Roman" w:hAnsi="Times New Roman"/>
        </w:rPr>
        <w:t>10</w:t>
      </w:r>
      <w:r>
        <w:rPr>
          <w:rFonts w:hint="eastAsia"/>
        </w:rPr>
        <w:t>人以下重伤（包括急性工业中毒，下同），或者</w:t>
      </w:r>
      <w:r>
        <w:rPr>
          <w:rFonts w:hint="eastAsia" w:ascii="Times New Roman" w:hAnsi="Times New Roman"/>
        </w:rPr>
        <w:t>1000</w:t>
      </w:r>
      <w:r>
        <w:rPr>
          <w:rFonts w:hint="eastAsia"/>
        </w:rPr>
        <w:t>万元以下直接经济损失的事故。</w:t>
      </w:r>
    </w:p>
    <w:p>
      <w:pPr>
        <w:ind w:firstLine="594"/>
      </w:pPr>
      <w:r>
        <w:rPr>
          <w:rFonts w:hint="eastAsia"/>
        </w:rPr>
        <w:t>（</w:t>
      </w:r>
      <w:r>
        <w:rPr>
          <w:rFonts w:hint="eastAsia" w:ascii="Times New Roman" w:hAnsi="Times New Roman"/>
        </w:rPr>
        <w:t>2</w:t>
      </w:r>
      <w:r>
        <w:rPr>
          <w:rFonts w:hint="eastAsia"/>
        </w:rPr>
        <w:t>）较大事故：造成</w:t>
      </w:r>
      <w:r>
        <w:rPr>
          <w:rFonts w:hint="eastAsia" w:ascii="Times New Roman" w:hAnsi="Times New Roman"/>
        </w:rPr>
        <w:t>3</w:t>
      </w:r>
      <w:r>
        <w:rPr>
          <w:rFonts w:hint="eastAsia"/>
        </w:rPr>
        <w:t>人以上</w:t>
      </w:r>
      <w:r>
        <w:rPr>
          <w:rFonts w:hint="eastAsia" w:ascii="Times New Roman" w:hAnsi="Times New Roman"/>
        </w:rPr>
        <w:t>10</w:t>
      </w:r>
      <w:r>
        <w:rPr>
          <w:rFonts w:hint="eastAsia"/>
        </w:rPr>
        <w:t>人以下死亡，或者</w:t>
      </w:r>
      <w:r>
        <w:rPr>
          <w:rFonts w:hint="eastAsia" w:ascii="Times New Roman" w:hAnsi="Times New Roman"/>
        </w:rPr>
        <w:t>10</w:t>
      </w:r>
      <w:r>
        <w:rPr>
          <w:rFonts w:hint="eastAsia"/>
        </w:rPr>
        <w:t>人以上</w:t>
      </w:r>
      <w:r>
        <w:rPr>
          <w:rFonts w:hint="eastAsia" w:ascii="Times New Roman" w:hAnsi="Times New Roman"/>
        </w:rPr>
        <w:t>50</w:t>
      </w:r>
      <w:r>
        <w:rPr>
          <w:rFonts w:hint="eastAsia"/>
        </w:rPr>
        <w:t>人以下重伤，或者</w:t>
      </w:r>
      <w:r>
        <w:rPr>
          <w:rFonts w:hint="eastAsia" w:ascii="Times New Roman" w:hAnsi="Times New Roman"/>
        </w:rPr>
        <w:t>1000</w:t>
      </w:r>
      <w:r>
        <w:rPr>
          <w:rFonts w:hint="eastAsia"/>
        </w:rPr>
        <w:t>万元以上</w:t>
      </w:r>
      <w:r>
        <w:rPr>
          <w:rFonts w:hint="eastAsia" w:ascii="Times New Roman" w:hAnsi="Times New Roman"/>
        </w:rPr>
        <w:t>5000</w:t>
      </w:r>
      <w:r>
        <w:rPr>
          <w:rFonts w:hint="eastAsia"/>
        </w:rPr>
        <w:t>万元以下直接经济损失的事故。</w:t>
      </w:r>
    </w:p>
    <w:p>
      <w:pPr>
        <w:ind w:firstLine="594"/>
      </w:pPr>
      <w:r>
        <w:rPr>
          <w:rFonts w:hint="eastAsia"/>
        </w:rPr>
        <w:t>（</w:t>
      </w:r>
      <w:r>
        <w:rPr>
          <w:rFonts w:hint="eastAsia" w:ascii="Times New Roman" w:hAnsi="Times New Roman"/>
        </w:rPr>
        <w:t>3</w:t>
      </w:r>
      <w:r>
        <w:rPr>
          <w:rFonts w:hint="eastAsia"/>
        </w:rPr>
        <w:t>）重大事故：造成</w:t>
      </w:r>
      <w:r>
        <w:rPr>
          <w:rFonts w:hint="eastAsia" w:ascii="Times New Roman" w:hAnsi="Times New Roman"/>
        </w:rPr>
        <w:t>10</w:t>
      </w:r>
      <w:r>
        <w:rPr>
          <w:rFonts w:hint="eastAsia"/>
        </w:rPr>
        <w:t>人以上</w:t>
      </w:r>
      <w:r>
        <w:rPr>
          <w:rFonts w:hint="eastAsia" w:ascii="Times New Roman" w:hAnsi="Times New Roman"/>
        </w:rPr>
        <w:t>30</w:t>
      </w:r>
      <w:r>
        <w:rPr>
          <w:rFonts w:hint="eastAsia"/>
        </w:rPr>
        <w:t>人以下死亡，或者</w:t>
      </w:r>
      <w:r>
        <w:rPr>
          <w:rFonts w:hint="eastAsia" w:ascii="Times New Roman" w:hAnsi="Times New Roman"/>
        </w:rPr>
        <w:t>50</w:t>
      </w:r>
      <w:r>
        <w:rPr>
          <w:rFonts w:hint="eastAsia"/>
        </w:rPr>
        <w:t>人以上</w:t>
      </w:r>
      <w:r>
        <w:rPr>
          <w:rFonts w:hint="eastAsia" w:ascii="Times New Roman" w:hAnsi="Times New Roman"/>
        </w:rPr>
        <w:t>100</w:t>
      </w:r>
      <w:r>
        <w:rPr>
          <w:rFonts w:hint="eastAsia"/>
        </w:rPr>
        <w:t>人以下重伤，或需紧急转移安置 5 万人以上、10 万人以下，或者</w:t>
      </w:r>
      <w:r>
        <w:rPr>
          <w:rFonts w:hint="eastAsia" w:ascii="Times New Roman" w:hAnsi="Times New Roman"/>
        </w:rPr>
        <w:t>5000</w:t>
      </w:r>
      <w:r>
        <w:rPr>
          <w:rFonts w:hint="eastAsia"/>
        </w:rPr>
        <w:t>万元以上</w:t>
      </w:r>
      <w:r>
        <w:rPr>
          <w:rFonts w:hint="eastAsia" w:ascii="Times New Roman" w:hAnsi="Times New Roman"/>
        </w:rPr>
        <w:t>1</w:t>
      </w:r>
      <w:r>
        <w:rPr>
          <w:rFonts w:hint="eastAsia"/>
        </w:rPr>
        <w:t>亿元以下直接经济损失的事故。</w:t>
      </w:r>
    </w:p>
    <w:p>
      <w:pPr>
        <w:ind w:firstLine="594"/>
      </w:pPr>
      <w:r>
        <w:rPr>
          <w:rFonts w:hint="eastAsia"/>
        </w:rPr>
        <w:t>（</w:t>
      </w:r>
      <w:r>
        <w:rPr>
          <w:rFonts w:hint="eastAsia" w:ascii="Times New Roman" w:hAnsi="Times New Roman"/>
        </w:rPr>
        <w:t>4</w:t>
      </w:r>
      <w:r>
        <w:rPr>
          <w:rFonts w:hint="eastAsia"/>
        </w:rPr>
        <w:t>）特别重大事故：造成</w:t>
      </w:r>
      <w:r>
        <w:rPr>
          <w:rFonts w:hint="eastAsia" w:ascii="Times New Roman" w:hAnsi="Times New Roman"/>
        </w:rPr>
        <w:t>30</w:t>
      </w:r>
      <w:r>
        <w:rPr>
          <w:rFonts w:hint="eastAsia"/>
        </w:rPr>
        <w:t>人以上死亡，或者</w:t>
      </w:r>
      <w:r>
        <w:rPr>
          <w:rFonts w:hint="eastAsia" w:ascii="Times New Roman" w:hAnsi="Times New Roman"/>
        </w:rPr>
        <w:t>100</w:t>
      </w:r>
      <w:r>
        <w:rPr>
          <w:rFonts w:hint="eastAsia"/>
        </w:rPr>
        <w:t>人以上重伤，或者需要紧急转移安置 10 万人以上，或者</w:t>
      </w:r>
      <w:r>
        <w:rPr>
          <w:rFonts w:hint="eastAsia" w:ascii="Times New Roman" w:hAnsi="Times New Roman"/>
        </w:rPr>
        <w:t>1</w:t>
      </w:r>
      <w:r>
        <w:rPr>
          <w:rFonts w:hint="eastAsia"/>
        </w:rPr>
        <w:t>亿元以上直接经济损失的事故。</w:t>
      </w:r>
    </w:p>
    <w:p>
      <w:pPr>
        <w:ind w:firstLine="594"/>
      </w:pPr>
      <w:r>
        <w:rPr>
          <w:rFonts w:hint="eastAsia"/>
        </w:rPr>
        <w:t>上述数量表述中，“以上”含本数，“以下”不含本数。</w:t>
      </w:r>
    </w:p>
    <w:p>
      <w:pPr>
        <w:pStyle w:val="3"/>
      </w:pPr>
      <w:bookmarkStart w:id="21" w:name="_Toc88998121"/>
      <w:r>
        <w:rPr>
          <w:rFonts w:hint="eastAsia"/>
        </w:rPr>
        <w:t>5.</w:t>
      </w:r>
      <w:r>
        <w:t xml:space="preserve">2 </w:t>
      </w:r>
      <w:r>
        <w:rPr>
          <w:rFonts w:hint="eastAsia"/>
        </w:rPr>
        <w:t>响应分级</w:t>
      </w:r>
      <w:bookmarkEnd w:id="21"/>
    </w:p>
    <w:p>
      <w:pPr>
        <w:ind w:firstLine="594"/>
      </w:pPr>
      <w:r>
        <w:rPr>
          <w:rFonts w:hint="eastAsia"/>
        </w:rPr>
        <w:t>根据事故分级及救援工作需要，非煤矿山生产安全事故应急响应分为Ⅰ</w:t>
      </w:r>
      <w:r>
        <w:t>级响应</w:t>
      </w:r>
      <w:r>
        <w:rPr>
          <w:rFonts w:hint="eastAsia"/>
        </w:rPr>
        <w:t>（特别重大</w:t>
      </w:r>
      <w:r>
        <w:t>），</w:t>
      </w:r>
      <w:r>
        <w:rPr>
          <w:rFonts w:hint="eastAsia"/>
        </w:rPr>
        <w:t>Ⅱ</w:t>
      </w:r>
      <w:r>
        <w:t>级响应（重大）、</w:t>
      </w:r>
      <w:r>
        <w:rPr>
          <w:rFonts w:hint="eastAsia"/>
        </w:rPr>
        <w:t>Ⅲ</w:t>
      </w:r>
      <w:r>
        <w:t>级响应（较大）、</w:t>
      </w:r>
      <w:r>
        <w:rPr>
          <w:rFonts w:hint="eastAsia"/>
        </w:rPr>
        <w:t>Ⅳ</w:t>
      </w:r>
      <w:r>
        <w:t>级响应（一般）。</w:t>
      </w:r>
    </w:p>
    <w:p>
      <w:pPr>
        <w:ind w:firstLine="594"/>
      </w:pPr>
      <w:r>
        <w:rPr>
          <w:rFonts w:hint="eastAsia"/>
        </w:rPr>
        <w:t>事故响应遵循统一领导、分级负责、属地为主的原则。Ⅱ级以下事故响应由事发地市县人民政府或洋浦经济开发区视情况组织救援；Ⅱ级及以上事故响应由省人民政府统一组织协调。</w:t>
      </w:r>
    </w:p>
    <w:p>
      <w:pPr>
        <w:pStyle w:val="3"/>
      </w:pPr>
      <w:bookmarkStart w:id="22" w:name="_Toc88998122"/>
      <w:r>
        <w:rPr>
          <w:rFonts w:hint="eastAsia"/>
        </w:rPr>
        <w:t>5.3</w:t>
      </w:r>
      <w:r>
        <w:t xml:space="preserve"> </w:t>
      </w:r>
      <w:r>
        <w:rPr>
          <w:rFonts w:hint="eastAsia"/>
        </w:rPr>
        <w:t>应急处置</w:t>
      </w:r>
      <w:bookmarkEnd w:id="22"/>
    </w:p>
    <w:p>
      <w:pPr>
        <w:pStyle w:val="4"/>
      </w:pPr>
      <w:bookmarkStart w:id="23" w:name="_Toc42248321"/>
      <w:bookmarkStart w:id="24" w:name="_Toc88998123"/>
      <w:r>
        <w:rPr>
          <w:rFonts w:hint="eastAsia"/>
        </w:rPr>
        <w:t>5</w:t>
      </w:r>
      <w:r>
        <w:t>.</w:t>
      </w:r>
      <w:r>
        <w:rPr>
          <w:rFonts w:hint="eastAsia"/>
        </w:rPr>
        <w:t>3</w:t>
      </w:r>
      <w:r>
        <w:t>.1 生产经营单位</w:t>
      </w:r>
      <w:bookmarkEnd w:id="23"/>
      <w:r>
        <w:rPr>
          <w:rFonts w:hint="eastAsia"/>
        </w:rPr>
        <w:t>应急处置</w:t>
      </w:r>
      <w:bookmarkEnd w:id="24"/>
    </w:p>
    <w:p>
      <w:pPr>
        <w:ind w:firstLine="594"/>
      </w:pPr>
      <w:r>
        <w:t>非煤矿山生产安全事故</w:t>
      </w:r>
      <w:r>
        <w:rPr>
          <w:rFonts w:hint="eastAsia"/>
        </w:rPr>
        <w:t>发生后，</w:t>
      </w:r>
      <w:r>
        <w:t>现场人员应采取紧急避险，在确保</w:t>
      </w:r>
      <w:r>
        <w:rPr>
          <w:rFonts w:hint="eastAsia"/>
        </w:rPr>
        <w:t>人身</w:t>
      </w:r>
      <w:r>
        <w:t>安全的前提下采取应急处置措施，开展自救和互救，</w:t>
      </w:r>
      <w:r>
        <w:rPr>
          <w:rFonts w:hint="eastAsia"/>
        </w:rPr>
        <w:t>并告知企业负责人。</w:t>
      </w:r>
    </w:p>
    <w:p>
      <w:pPr>
        <w:ind w:firstLine="594"/>
      </w:pPr>
      <w:r>
        <w:rPr>
          <w:rFonts w:hint="eastAsia"/>
        </w:rPr>
        <w:t>企业负责人在收到事故通知后，应立即确认事故情况，组织企业相关负责人、企业应急救援队伍等组成现场抢救组，开展紧急区域划定、人员搜救等先期处置工作。并于事故发生后1小时内将事故信息上报属地人民政府、应急管理部门和主管部门。省直属企业在报告属地人民政府的同时，报省应急厅。</w:t>
      </w:r>
    </w:p>
    <w:p>
      <w:pPr>
        <w:pStyle w:val="4"/>
      </w:pPr>
      <w:bookmarkStart w:id="25" w:name="_Toc42248322"/>
      <w:bookmarkStart w:id="26" w:name="_Toc88998124"/>
      <w:r>
        <w:rPr>
          <w:rFonts w:hint="eastAsia"/>
        </w:rPr>
        <w:t>5</w:t>
      </w:r>
      <w:r>
        <w:t>.</w:t>
      </w:r>
      <w:r>
        <w:rPr>
          <w:rFonts w:hint="eastAsia"/>
        </w:rPr>
        <w:t>3</w:t>
      </w:r>
      <w:r>
        <w:t>.</w:t>
      </w:r>
      <w:r>
        <w:rPr>
          <w:rFonts w:hint="eastAsia"/>
        </w:rPr>
        <w:t>2</w:t>
      </w:r>
      <w:r>
        <w:t xml:space="preserve"> </w:t>
      </w:r>
      <w:r>
        <w:rPr>
          <w:rFonts w:hint="eastAsia"/>
        </w:rPr>
        <w:t>市县人民政府、洋浦经济开发区管委会</w:t>
      </w:r>
      <w:bookmarkEnd w:id="25"/>
      <w:r>
        <w:rPr>
          <w:rFonts w:hint="eastAsia"/>
        </w:rPr>
        <w:t>应急处置</w:t>
      </w:r>
      <w:bookmarkEnd w:id="26"/>
    </w:p>
    <w:p>
      <w:pPr>
        <w:ind w:firstLine="594"/>
      </w:pPr>
      <w:r>
        <w:rPr>
          <w:rFonts w:hint="eastAsia"/>
        </w:rPr>
        <w:t>事发地市县人民政府、洋浦经济开发区管委会相关负责人在接到企业事故报告后，应立即赶赴现场，成立现场指挥机构，组织指挥公安、消防、医疗、矿山救援队等力量进行应急处理。</w:t>
      </w:r>
    </w:p>
    <w:p>
      <w:pPr>
        <w:pStyle w:val="4"/>
      </w:pPr>
      <w:bookmarkStart w:id="27" w:name="_Toc88998125"/>
      <w:r>
        <w:rPr>
          <w:rFonts w:hint="eastAsia"/>
        </w:rPr>
        <w:t>5</w:t>
      </w:r>
      <w:r>
        <w:t>.</w:t>
      </w:r>
      <w:r>
        <w:rPr>
          <w:rFonts w:hint="eastAsia"/>
        </w:rPr>
        <w:t>3</w:t>
      </w:r>
      <w:r>
        <w:t>.</w:t>
      </w:r>
      <w:r>
        <w:rPr>
          <w:rFonts w:hint="eastAsia"/>
        </w:rPr>
        <w:t>3</w:t>
      </w:r>
      <w:r>
        <w:t xml:space="preserve"> </w:t>
      </w:r>
      <w:r>
        <w:rPr>
          <w:rFonts w:hint="eastAsia"/>
        </w:rPr>
        <w:t>省级应急处置</w:t>
      </w:r>
      <w:bookmarkEnd w:id="27"/>
    </w:p>
    <w:p>
      <w:pPr>
        <w:pStyle w:val="5"/>
      </w:pPr>
      <w:bookmarkStart w:id="28" w:name="_Toc88998126"/>
      <w:bookmarkStart w:id="29" w:name="_Toc54959302"/>
      <w:r>
        <w:rPr>
          <w:rFonts w:hint="eastAsia"/>
        </w:rPr>
        <w:t>5.3.3.1</w:t>
      </w:r>
      <w:r>
        <w:t xml:space="preserve"> </w:t>
      </w:r>
      <w:r>
        <w:rPr>
          <w:rFonts w:hint="eastAsia"/>
        </w:rPr>
        <w:t>接警</w:t>
      </w:r>
      <w:bookmarkEnd w:id="28"/>
    </w:p>
    <w:p>
      <w:pPr>
        <w:ind w:firstLine="594"/>
      </w:pPr>
      <w:r>
        <w:t>当省</w:t>
      </w:r>
      <w:r>
        <w:rPr>
          <w:rFonts w:hint="eastAsia"/>
        </w:rPr>
        <w:t>应急厅</w:t>
      </w:r>
      <w:r>
        <w:t>收到</w:t>
      </w:r>
      <w:r>
        <w:rPr>
          <w:rFonts w:hint="eastAsia"/>
        </w:rPr>
        <w:t>非煤矿山生产安全事故</w:t>
      </w:r>
      <w:r>
        <w:t>报告后</w:t>
      </w:r>
      <w:r>
        <w:rPr>
          <w:rFonts w:hint="eastAsia"/>
        </w:rPr>
        <w:t>，</w:t>
      </w:r>
      <w:r>
        <w:t>应及时</w:t>
      </w:r>
      <w:r>
        <w:rPr>
          <w:rFonts w:hint="eastAsia"/>
        </w:rPr>
        <w:t>核实事故情况，报送省委、省政府及省安委会有关部门，并根据事故情况指导事故现场进行救援，按照有关权限协调应急资源。对可能或者已经引发自然灾害、公共卫生和社会安全突发事件的情况，省应急厅应及时上报省人民政府，同时通报同级相关领域的应急指挥机构。</w:t>
      </w:r>
    </w:p>
    <w:p>
      <w:pPr>
        <w:pStyle w:val="5"/>
      </w:pPr>
      <w:bookmarkStart w:id="30" w:name="_Toc88998127"/>
      <w:r>
        <w:rPr>
          <w:rFonts w:hint="eastAsia"/>
        </w:rPr>
        <w:t>5.3.3.2</w:t>
      </w:r>
      <w:r>
        <w:t xml:space="preserve"> </w:t>
      </w:r>
      <w:r>
        <w:rPr>
          <w:rFonts w:hint="eastAsia"/>
        </w:rPr>
        <w:t>事故处置</w:t>
      </w:r>
      <w:bookmarkEnd w:id="30"/>
    </w:p>
    <w:p>
      <w:pPr>
        <w:ind w:firstLine="594"/>
      </w:pPr>
      <w:r>
        <w:rPr>
          <w:rFonts w:hint="eastAsia"/>
        </w:rPr>
        <w:t>当事故影响已经达到本预案的启动条件时，省安委会主任应及时研判并决定事故响应级别，作出相应工作部署。</w:t>
      </w:r>
    </w:p>
    <w:p>
      <w:pPr>
        <w:ind w:firstLine="594"/>
      </w:pPr>
      <w:r>
        <w:rPr>
          <w:rFonts w:hint="eastAsia"/>
        </w:rPr>
        <w:t>省指挥部成立后，连线事发地指挥部，</w:t>
      </w:r>
      <w:r>
        <w:t>进行联合初步研讨会议</w:t>
      </w:r>
      <w:r>
        <w:rPr>
          <w:rFonts w:hint="eastAsia"/>
        </w:rPr>
        <w:t>，</w:t>
      </w:r>
      <w:r>
        <w:t>了解事故最新动态并</w:t>
      </w:r>
      <w:r>
        <w:rPr>
          <w:rFonts w:hint="eastAsia"/>
        </w:rPr>
        <w:t>交接指挥权，按需设置现场指挥部。</w:t>
      </w:r>
    </w:p>
    <w:p>
      <w:pPr>
        <w:ind w:firstLine="594"/>
      </w:pPr>
      <w:r>
        <w:rPr>
          <w:rFonts w:hint="eastAsia"/>
        </w:rPr>
        <w:t>现场指挥部成立后，应根据省指挥部有关部署，做好扩大事故信息发布范围，协调事发地周边的应急资源进行支援，消除已经引发或可能引发的事故负面舆论，严格落实供水、供电、交通、气象、物资、资金和环境保护等保障。</w:t>
      </w:r>
    </w:p>
    <w:p>
      <w:pPr>
        <w:ind w:firstLine="594"/>
      </w:pPr>
      <w:r>
        <w:rPr>
          <w:rFonts w:hint="eastAsia"/>
        </w:rPr>
        <w:t>现场指挥部</w:t>
      </w:r>
      <w:r>
        <w:t>处置完上述事项后</w:t>
      </w:r>
      <w:r>
        <w:rPr>
          <w:rFonts w:hint="eastAsia"/>
        </w:rPr>
        <w:t>，</w:t>
      </w:r>
      <w:r>
        <w:t>进入内部运转机制</w:t>
      </w:r>
      <w:r>
        <w:rPr>
          <w:rFonts w:hint="eastAsia"/>
        </w:rPr>
        <w:t>，根据事故现场实际情况，开展有计划、有针对性的救援工作。现场指挥部内部运转机制应以“制定救援目标→会商研判→制定救援方案→执行救援方案→方案执行的监督完成→制定下一阶段的应急救援目标”的步骤进行事故救援。</w:t>
      </w:r>
    </w:p>
    <w:p>
      <w:pPr>
        <w:ind w:firstLine="594"/>
      </w:pPr>
      <w:r>
        <w:rPr>
          <w:rFonts w:hint="eastAsia"/>
        </w:rPr>
        <w:t>根据实际情况采取下列措施：</w:t>
      </w:r>
    </w:p>
    <w:p>
      <w:pPr>
        <w:ind w:firstLine="594"/>
      </w:pPr>
      <w:r>
        <w:rPr>
          <w:rFonts w:hint="eastAsia"/>
        </w:rPr>
        <w:t>（1）按照避灾线路，组织疏散影响区域的无关人员，查明事故类型和发生地点、范围，同时查明被困人员数量和位置，组织营救；</w:t>
      </w:r>
    </w:p>
    <w:p>
      <w:pPr>
        <w:ind w:firstLine="594"/>
      </w:pPr>
      <w:r>
        <w:rPr>
          <w:rFonts w:hint="eastAsia"/>
        </w:rPr>
        <w:t>（2）根据事故类型，制定和实施有效的应急处置要点，迅速控制事态的进一步恶化；</w:t>
      </w:r>
    </w:p>
    <w:p>
      <w:pPr>
        <w:ind w:firstLine="594"/>
      </w:pPr>
      <w:r>
        <w:rPr>
          <w:rFonts w:hint="eastAsia"/>
        </w:rPr>
        <w:t>（3）尽快抢修被破坏的通道、供电系统、通风系统、排水系统和道路，使有助于救援的系统尽可能的恢复功能，进一步创造应急处置的有利条件；</w:t>
      </w:r>
    </w:p>
    <w:p>
      <w:pPr>
        <w:ind w:firstLine="594"/>
      </w:pPr>
      <w:r>
        <w:rPr>
          <w:rFonts w:hint="eastAsia"/>
        </w:rPr>
        <w:t>（4）采取防止次生、衍生事故的必要措施；</w:t>
      </w:r>
    </w:p>
    <w:p>
      <w:pPr>
        <w:ind w:firstLine="594"/>
      </w:pPr>
      <w:r>
        <w:rPr>
          <w:rFonts w:hint="eastAsia"/>
        </w:rPr>
        <w:t>（5）迅速调集应急救援队伍，物资及食物、饮水，尽可能向被困人员提供生存必要保障；</w:t>
      </w:r>
    </w:p>
    <w:p>
      <w:pPr>
        <w:ind w:firstLine="594"/>
      </w:pPr>
      <w:r>
        <w:rPr>
          <w:rFonts w:hint="eastAsia"/>
        </w:rPr>
        <w:t>（6）组织成立联合指挥小组，整合企业专业应急救援力量。</w:t>
      </w:r>
    </w:p>
    <w:p>
      <w:pPr>
        <w:ind w:firstLine="594"/>
      </w:pPr>
      <w:r>
        <w:rPr>
          <w:rFonts w:hint="eastAsia"/>
        </w:rPr>
        <w:t>（7）及时将事故信息上报省安委办（省应急厅），必要时请求省级支援。</w:t>
      </w:r>
    </w:p>
    <w:p>
      <w:pPr>
        <w:pStyle w:val="5"/>
      </w:pPr>
      <w:bookmarkStart w:id="31" w:name="_Toc88998128"/>
      <w:r>
        <w:rPr>
          <w:rFonts w:hint="eastAsia"/>
        </w:rPr>
        <w:t>5.3.3.3</w:t>
      </w:r>
      <w:r>
        <w:t xml:space="preserve"> </w:t>
      </w:r>
      <w:r>
        <w:rPr>
          <w:rFonts w:hint="eastAsia"/>
        </w:rPr>
        <w:t>响应升级</w:t>
      </w:r>
      <w:bookmarkEnd w:id="31"/>
    </w:p>
    <w:p>
      <w:pPr>
        <w:ind w:firstLine="594"/>
      </w:pPr>
      <w:r>
        <w:t>当全省力量也无法有效控制灾情时</w:t>
      </w:r>
      <w:r>
        <w:rPr>
          <w:rFonts w:hint="eastAsia"/>
        </w:rPr>
        <w:t>，省指挥部应将事态及时上报国务院安委办，请求国家支援，</w:t>
      </w:r>
      <w:r>
        <w:t>应急响应</w:t>
      </w:r>
      <w:r>
        <w:rPr>
          <w:rFonts w:hint="eastAsia"/>
        </w:rPr>
        <w:t>由</w:t>
      </w:r>
      <w:r>
        <w:t>国务院</w:t>
      </w:r>
      <w:r>
        <w:rPr>
          <w:rFonts w:hint="eastAsia"/>
        </w:rPr>
        <w:t>有关部门</w:t>
      </w:r>
      <w:r>
        <w:t>组织实施，省指挥部</w:t>
      </w:r>
      <w:r>
        <w:rPr>
          <w:rFonts w:hint="eastAsia"/>
        </w:rPr>
        <w:t>、</w:t>
      </w:r>
      <w:r>
        <w:t>现场指挥部</w:t>
      </w:r>
      <w:r>
        <w:rPr>
          <w:rFonts w:hint="eastAsia"/>
        </w:rPr>
        <w:t>等各级应急机构应积极</w:t>
      </w:r>
      <w:r>
        <w:t>配合</w:t>
      </w:r>
      <w:r>
        <w:rPr>
          <w:rFonts w:hint="eastAsia"/>
        </w:rPr>
        <w:t>。</w:t>
      </w:r>
    </w:p>
    <w:p>
      <w:pPr>
        <w:pStyle w:val="5"/>
      </w:pPr>
      <w:bookmarkStart w:id="32" w:name="_Toc88998129"/>
      <w:r>
        <w:rPr>
          <w:rFonts w:hint="eastAsia"/>
        </w:rPr>
        <w:t>5.3.3.4</w:t>
      </w:r>
      <w:r>
        <w:t xml:space="preserve"> </w:t>
      </w:r>
      <w:r>
        <w:rPr>
          <w:rFonts w:hint="eastAsia"/>
        </w:rPr>
        <w:t>信息发布</w:t>
      </w:r>
      <w:bookmarkEnd w:id="32"/>
    </w:p>
    <w:p>
      <w:pPr>
        <w:ind w:firstLine="594"/>
      </w:pPr>
      <w:r>
        <w:rPr>
          <w:rFonts w:hint="eastAsia"/>
        </w:rPr>
        <w:t>当发生重大、特别重大非煤矿山生产安全事故（以及1.4条规定的其他事故范围）时，省指挥部负责统一领导和组织事故信息发布工作。</w:t>
      </w:r>
    </w:p>
    <w:p>
      <w:pPr>
        <w:ind w:firstLine="594"/>
      </w:pPr>
      <w:r>
        <w:rPr>
          <w:rFonts w:hint="eastAsia"/>
        </w:rPr>
        <w:t>对于非煤矿山生产安全事故已经引发或可能引发的社会舆论，省委宣传部应联合省委网信办等有关部门发布信息，协调网络、电视、报纸等有关媒体，开展对外解疑释惑、消除社会不当舆论、澄清事实。必要时，组织召开新闻发布会，正确引导新闻舆论，现场指挥部予以配合。</w:t>
      </w:r>
    </w:p>
    <w:p>
      <w:pPr>
        <w:ind w:firstLine="594"/>
      </w:pPr>
      <w:r>
        <w:rPr>
          <w:rFonts w:hint="eastAsia"/>
        </w:rPr>
        <w:t>信息发布内容主要包括：非煤矿山生产安全事故的危害程度及其次生、衍生灾害的监测和预警情况；事故发生时间、地点、人员伤亡（包括下落不明人数）和财产损失情况、救援进展情况、事故区域交通管控情况以及临时交通措施；事故责任单位基本情况；事故初步原因等。</w:t>
      </w:r>
    </w:p>
    <w:p>
      <w:pPr>
        <w:pStyle w:val="5"/>
      </w:pPr>
      <w:bookmarkStart w:id="33" w:name="_Toc88998130"/>
      <w:r>
        <w:rPr>
          <w:rFonts w:hint="eastAsia"/>
        </w:rPr>
        <w:t>5.3.3.5</w:t>
      </w:r>
      <w:r>
        <w:t xml:space="preserve"> </w:t>
      </w:r>
      <w:r>
        <w:rPr>
          <w:rFonts w:hint="eastAsia"/>
        </w:rPr>
        <w:t>响应降级及结束</w:t>
      </w:r>
      <w:bookmarkEnd w:id="33"/>
    </w:p>
    <w:p>
      <w:pPr>
        <w:ind w:firstLine="594"/>
      </w:pPr>
      <w:r>
        <w:rPr>
          <w:rFonts w:hint="eastAsia"/>
        </w:rPr>
        <w:t>事故响应实行动态管理，根据事故救援情况调整响应级别，采用逐步降级</w:t>
      </w:r>
      <w:r>
        <w:rPr>
          <w:rFonts w:hint="eastAsia" w:ascii="Segoe UI Emoji" w:hAnsi="Segoe UI Emoji" w:eastAsia="Segoe UI Emoji" w:cs="Segoe UI Emoji"/>
        </w:rPr>
        <w:t>→</w:t>
      </w:r>
      <w:r>
        <w:rPr>
          <w:rFonts w:hint="eastAsia"/>
        </w:rPr>
        <w:t>指挥权转移</w:t>
      </w:r>
      <w:r>
        <w:rPr>
          <w:rFonts w:hint="eastAsia" w:ascii="Segoe UI Emoji" w:hAnsi="Segoe UI Emoji" w:eastAsia="Segoe UI Emoji" w:cs="Segoe UI Emoji"/>
        </w:rPr>
        <w:t>→</w:t>
      </w:r>
      <w:r>
        <w:rPr>
          <w:rFonts w:hint="eastAsia"/>
        </w:rPr>
        <w:t>响应降级信息发布的程序进行。</w:t>
      </w:r>
    </w:p>
    <w:p>
      <w:pPr>
        <w:ind w:firstLine="594"/>
      </w:pPr>
      <w:r>
        <w:rPr>
          <w:rFonts w:hint="eastAsia"/>
        </w:rPr>
        <w:t>当现场险情得以控制，事故伤亡情况已核实清楚，被困人员已解救，受伤人员已全部安排救治，死亡人员得到妥善处置，环境符合有关标准，导致次生、衍生事故的隐患已消除后，由现场指挥部上报省指挥部，省指挥部宣布省级响应结束，相关人员回到日常岗位。</w:t>
      </w:r>
    </w:p>
    <w:p>
      <w:pPr>
        <w:pStyle w:val="2"/>
      </w:pPr>
      <w:bookmarkStart w:id="34" w:name="_Toc88998131"/>
      <w:r>
        <w:rPr>
          <w:rFonts w:hint="eastAsia"/>
        </w:rPr>
        <w:t>6 善后工作</w:t>
      </w:r>
      <w:bookmarkEnd w:id="29"/>
      <w:bookmarkEnd w:id="34"/>
    </w:p>
    <w:p>
      <w:pPr>
        <w:pStyle w:val="3"/>
      </w:pPr>
      <w:bookmarkStart w:id="35" w:name="_Toc88998132"/>
      <w:r>
        <w:t>6.1 善后处置</w:t>
      </w:r>
      <w:bookmarkEnd w:id="35"/>
    </w:p>
    <w:p>
      <w:pPr>
        <w:ind w:firstLine="594"/>
      </w:pPr>
      <w:r>
        <w:rPr>
          <w:rFonts w:hint="eastAsia"/>
        </w:rPr>
        <w:t>事发地市县人民政府、洋浦经济开发区管委会及事故单位负责组织事故善后处置工作，包括遇难人员亲属的安抚、赔偿，征用物资补偿，灾后重建，污染物收集、清理与处理等事项。尽快恢复正常秩序，减少事故影响，确保社会稳定。</w:t>
      </w:r>
    </w:p>
    <w:p>
      <w:pPr>
        <w:pStyle w:val="3"/>
      </w:pPr>
      <w:bookmarkStart w:id="36" w:name="_Toc88998133"/>
      <w:r>
        <w:rPr>
          <w:rFonts w:hint="eastAsia"/>
        </w:rPr>
        <w:t>6</w:t>
      </w:r>
      <w:r>
        <w:t>.2 事故调查</w:t>
      </w:r>
      <w:bookmarkEnd w:id="36"/>
    </w:p>
    <w:p>
      <w:pPr>
        <w:ind w:firstLine="594"/>
      </w:pPr>
      <w:r>
        <w:rPr>
          <w:rFonts w:hint="eastAsia"/>
        </w:rPr>
        <w:t>事故发生后，应当按照国家有关规定成立事故调查组，开展事故调查工作，并按要求形成事故调查报告。</w:t>
      </w:r>
    </w:p>
    <w:p>
      <w:pPr>
        <w:ind w:firstLine="594"/>
      </w:pPr>
      <w:r>
        <w:rPr>
          <w:rFonts w:hint="eastAsia"/>
        </w:rPr>
        <w:t>对在非煤矿山生产安全事故应急处置和救援工作中作出突出贡献的先进集体和个人，按照国家和省有关规定给予表彰和奖励。对玩忽职守、失职、渎职的有关责任人，要依据有关规定严肃追究责任，构成犯罪的，依法追究刑事责任。</w:t>
      </w:r>
    </w:p>
    <w:p>
      <w:pPr>
        <w:ind w:firstLine="594"/>
      </w:pPr>
      <w:r>
        <w:rPr>
          <w:rFonts w:hint="eastAsia"/>
        </w:rPr>
        <w:t>应按照“事故原因未查清不放过、责任人员未处理不放过、整改措施未落实不放过、有关人员未受到教育不放过”的“四不放过”原则严肃处理、追责问责，防止同类事故重复发生。</w:t>
      </w:r>
    </w:p>
    <w:p>
      <w:pPr>
        <w:pStyle w:val="3"/>
      </w:pPr>
      <w:bookmarkStart w:id="37" w:name="_Toc88998134"/>
      <w:r>
        <w:rPr>
          <w:rFonts w:hint="eastAsia"/>
        </w:rPr>
        <w:t>6</w:t>
      </w:r>
      <w:r>
        <w:t>.3 总结评估</w:t>
      </w:r>
      <w:bookmarkEnd w:id="37"/>
    </w:p>
    <w:p>
      <w:pPr>
        <w:ind w:firstLine="594"/>
      </w:pPr>
      <w:r>
        <w:rPr>
          <w:rFonts w:hint="eastAsia"/>
        </w:rPr>
        <w:t>事发地市县人民政府、洋浦经济开发区管委会应组织应急管理部门、有关部门和单位共同编制事故救援报告，说明事故的基本情况、应急救援经过，总结事故救援处置经验教训，提出加强和改进应急救援工作的对策措施和建议意见。必要时，应重新修订本预案。</w:t>
      </w:r>
    </w:p>
    <w:p>
      <w:pPr>
        <w:pStyle w:val="2"/>
      </w:pPr>
      <w:bookmarkStart w:id="38" w:name="_Toc88998135"/>
      <w:r>
        <w:rPr>
          <w:rFonts w:hint="eastAsia"/>
        </w:rPr>
        <w:t>7 应急保障</w:t>
      </w:r>
      <w:bookmarkEnd w:id="38"/>
    </w:p>
    <w:p>
      <w:pPr>
        <w:pStyle w:val="3"/>
      </w:pPr>
      <w:bookmarkStart w:id="39" w:name="_Toc88998136"/>
      <w:r>
        <w:rPr>
          <w:rFonts w:hint="eastAsia"/>
        </w:rPr>
        <w:t>7</w:t>
      </w:r>
      <w:r>
        <w:t>.</w:t>
      </w:r>
      <w:r>
        <w:rPr>
          <w:rFonts w:hint="eastAsia"/>
        </w:rPr>
        <w:t>1</w:t>
      </w:r>
      <w:r>
        <w:t xml:space="preserve"> 通信与信息保障</w:t>
      </w:r>
      <w:bookmarkEnd w:id="39"/>
    </w:p>
    <w:p>
      <w:pPr>
        <w:ind w:firstLine="594"/>
      </w:pPr>
      <w:r>
        <w:t>各级通信管理</w:t>
      </w:r>
      <w:r>
        <w:rPr>
          <w:rFonts w:hint="eastAsia"/>
        </w:rPr>
        <w:t>部门</w:t>
      </w:r>
      <w:r>
        <w:t>及有关部门应建立健全应急通信、应急广播保障体系，完善公用通信网</w:t>
      </w:r>
      <w:r>
        <w:rPr>
          <w:rFonts w:hint="eastAsia"/>
        </w:rPr>
        <w:t>络</w:t>
      </w:r>
      <w:r>
        <w:t>，建立有线和无线相结合、基础电信网络与机动通信系统相配套的应急通信系统，确保通信畅通。各应急指挥机构有关部门以及各应急队伍应当至少保证1部专用固定电话24小时有人值守，确保通讯联络畅通。</w:t>
      </w:r>
    </w:p>
    <w:p>
      <w:pPr>
        <w:pStyle w:val="3"/>
      </w:pPr>
      <w:bookmarkStart w:id="40" w:name="_Toc88998137"/>
      <w:r>
        <w:rPr>
          <w:rFonts w:hint="eastAsia"/>
        </w:rPr>
        <w:t>7</w:t>
      </w:r>
      <w:r>
        <w:t>.</w:t>
      </w:r>
      <w:r>
        <w:rPr>
          <w:rFonts w:hint="eastAsia"/>
        </w:rPr>
        <w:t>2</w:t>
      </w:r>
      <w:r>
        <w:t xml:space="preserve"> </w:t>
      </w:r>
      <w:r>
        <w:rPr>
          <w:rFonts w:hint="eastAsia"/>
        </w:rPr>
        <w:t>应急救援</w:t>
      </w:r>
      <w:r>
        <w:t>队伍保障</w:t>
      </w:r>
      <w:bookmarkEnd w:id="40"/>
    </w:p>
    <w:p>
      <w:pPr>
        <w:ind w:firstLine="594"/>
      </w:pPr>
      <w:r>
        <w:t>建立健全非煤矿山生产安全事故应急救援队伍，包括消防救援队伍、专业应急救援队伍、工程抢险队伍、社会应急救援队伍、企业应急救援队伍以及公安、卫生、环保和其他有关部门的应急救援队伍。适时组织开展多种形式的应急演练，不断提高实战能力。</w:t>
      </w:r>
    </w:p>
    <w:p>
      <w:pPr>
        <w:pStyle w:val="3"/>
      </w:pPr>
      <w:bookmarkStart w:id="41" w:name="_Toc88998138"/>
      <w:r>
        <w:rPr>
          <w:rFonts w:hint="eastAsia"/>
        </w:rPr>
        <w:t>7</w:t>
      </w:r>
      <w:r>
        <w:t>.</w:t>
      </w:r>
      <w:r>
        <w:rPr>
          <w:rFonts w:hint="eastAsia"/>
        </w:rPr>
        <w:t>3</w:t>
      </w:r>
      <w:r>
        <w:t xml:space="preserve"> </w:t>
      </w:r>
      <w:r>
        <w:rPr>
          <w:rFonts w:hint="eastAsia"/>
        </w:rPr>
        <w:t>应急物资</w:t>
      </w:r>
      <w:r>
        <w:t>装备保障</w:t>
      </w:r>
      <w:bookmarkEnd w:id="41"/>
    </w:p>
    <w:p>
      <w:pPr>
        <w:ind w:firstLine="594"/>
      </w:pPr>
      <w:r>
        <w:t>根据非煤矿山特点和应急救援需要，配备泡沫车、药剂车、联用车、气防车和其他专业救援设备，加强管理，统一调度，为应急处置提供装备保障。</w:t>
      </w:r>
    </w:p>
    <w:p>
      <w:pPr>
        <w:pStyle w:val="3"/>
      </w:pPr>
      <w:bookmarkStart w:id="42" w:name="_Toc88998139"/>
      <w:r>
        <w:t>7</w:t>
      </w:r>
      <w:r>
        <w:rPr>
          <w:rFonts w:hint="eastAsia"/>
        </w:rPr>
        <w:t>.4 应急治安和</w:t>
      </w:r>
      <w:r>
        <w:t>交通</w:t>
      </w:r>
      <w:r>
        <w:rPr>
          <w:rFonts w:hint="eastAsia"/>
        </w:rPr>
        <w:t>保障</w:t>
      </w:r>
      <w:bookmarkEnd w:id="42"/>
    </w:p>
    <w:p>
      <w:pPr>
        <w:ind w:firstLine="594"/>
      </w:pPr>
      <w:r>
        <w:t>生</w:t>
      </w:r>
      <w:r>
        <w:rPr>
          <w:rFonts w:hint="eastAsia"/>
        </w:rPr>
        <w:t>产安全事故发生后，</w:t>
      </w:r>
      <w:r>
        <w:t>根据需要对事故现场采取警戒措施，强化治</w:t>
      </w:r>
      <w:r>
        <w:rPr>
          <w:rFonts w:hint="eastAsia"/>
        </w:rPr>
        <w:t>安管控，加强对重点地区、重点场所、重点人群、重要物资设备的防范保护，维持现场秩序。必要时，及时疏散群众，保持社会治安秩序的稳定。根据需要及时对现场和相关通道实行交通管控，开设应急救援特别通道，确保救灾物资、器材和人员的运送，形成快速、高效、顺畅、协调的应急运输系统。</w:t>
      </w:r>
    </w:p>
    <w:p>
      <w:pPr>
        <w:pStyle w:val="3"/>
      </w:pPr>
      <w:bookmarkStart w:id="43" w:name="_Toc88998140"/>
      <w:r>
        <w:rPr>
          <w:rFonts w:hint="eastAsia"/>
        </w:rPr>
        <w:t>7</w:t>
      </w:r>
      <w:r>
        <w:t xml:space="preserve">.5 </w:t>
      </w:r>
      <w:r>
        <w:rPr>
          <w:rFonts w:hint="eastAsia"/>
        </w:rPr>
        <w:t>应急经费</w:t>
      </w:r>
      <w:r>
        <w:t>保障</w:t>
      </w:r>
      <w:bookmarkEnd w:id="43"/>
    </w:p>
    <w:p>
      <w:pPr>
        <w:ind w:firstLine="594"/>
      </w:pPr>
      <w:r>
        <w:t>应急救援队伍参加生产安全事故应急救援所耗费用，由事故责任单位承担，事故责任单位无力承担的，由事发地政府协调解决。充分发挥社会保险作用，进一步健全区域公共安全保险体系。</w:t>
      </w:r>
    </w:p>
    <w:p>
      <w:pPr>
        <w:pStyle w:val="3"/>
      </w:pPr>
      <w:bookmarkStart w:id="44" w:name="_Toc88998141"/>
      <w:r>
        <w:rPr>
          <w:rFonts w:hint="eastAsia"/>
        </w:rPr>
        <w:t>7</w:t>
      </w:r>
      <w:r>
        <w:t xml:space="preserve">.6 </w:t>
      </w:r>
      <w:r>
        <w:rPr>
          <w:rFonts w:hint="eastAsia"/>
        </w:rPr>
        <w:t>应急</w:t>
      </w:r>
      <w:r>
        <w:t>医疗卫生保障</w:t>
      </w:r>
      <w:bookmarkEnd w:id="44"/>
    </w:p>
    <w:p>
      <w:pPr>
        <w:ind w:firstLine="594"/>
      </w:pPr>
      <w:r>
        <w:t>各级卫生健康部门应建立专业医疗救护队伍，配备专业救护设备，健全医疗卫生工作机制，指导或实施对</w:t>
      </w:r>
      <w:r>
        <w:rPr>
          <w:rFonts w:hint="eastAsia"/>
        </w:rPr>
        <w:t>非煤矿山</w:t>
      </w:r>
      <w:r>
        <w:t>生产安全事故伤员的有效救治。</w:t>
      </w:r>
    </w:p>
    <w:p>
      <w:pPr>
        <w:pStyle w:val="3"/>
      </w:pPr>
      <w:bookmarkStart w:id="45" w:name="_Toc88998142"/>
      <w:r>
        <w:t>7</w:t>
      </w:r>
      <w:r>
        <w:rPr>
          <w:rFonts w:hint="eastAsia"/>
        </w:rPr>
        <w:t>.</w:t>
      </w:r>
      <w:r>
        <w:t>7</w:t>
      </w:r>
      <w:r>
        <w:rPr>
          <w:rFonts w:hint="eastAsia"/>
        </w:rPr>
        <w:t xml:space="preserve"> 法律保障</w:t>
      </w:r>
      <w:bookmarkEnd w:id="45"/>
    </w:p>
    <w:p>
      <w:pPr>
        <w:ind w:firstLine="594"/>
      </w:pPr>
      <w:r>
        <w:rPr>
          <w:rFonts w:hint="eastAsia"/>
        </w:rPr>
        <w:t>有关部门应加强安全监管执法，认真贯彻执行预防生产安全事故的法律法规，加强监测监督，严肃处理违法生产行为；严厉打击制造、传播虚假信息、扰乱民心的行为，为应急处置工作创造一个良好的环境，确保应急处置工作的顺利进行。</w:t>
      </w:r>
    </w:p>
    <w:p>
      <w:pPr>
        <w:pStyle w:val="3"/>
      </w:pPr>
      <w:bookmarkStart w:id="46" w:name="_Toc88998143"/>
      <w:r>
        <w:t>7</w:t>
      </w:r>
      <w:r>
        <w:rPr>
          <w:rFonts w:hint="eastAsia"/>
        </w:rPr>
        <w:t>.</w:t>
      </w:r>
      <w:r>
        <w:t>8</w:t>
      </w:r>
      <w:r>
        <w:rPr>
          <w:rFonts w:hint="eastAsia"/>
        </w:rPr>
        <w:t xml:space="preserve"> 应急避难场所保障</w:t>
      </w:r>
      <w:bookmarkEnd w:id="46"/>
    </w:p>
    <w:p>
      <w:pPr>
        <w:ind w:firstLine="594"/>
      </w:pPr>
      <w:r>
        <w:rPr>
          <w:rFonts w:hint="eastAsia"/>
        </w:rPr>
        <w:t>应急避难场所的归属单位应按照要求配置各种设施、设备，划定各类功能区，设置规范的标识牌，储备必要的物资，建立健全应急避难场所维护、管理制度和应急预案。</w:t>
      </w:r>
    </w:p>
    <w:p>
      <w:pPr>
        <w:pStyle w:val="3"/>
      </w:pPr>
      <w:bookmarkStart w:id="47" w:name="_Toc88998144"/>
      <w:r>
        <w:t>7</w:t>
      </w:r>
      <w:r>
        <w:rPr>
          <w:rFonts w:hint="eastAsia"/>
        </w:rPr>
        <w:t>.</w:t>
      </w:r>
      <w:r>
        <w:t>9</w:t>
      </w:r>
      <w:r>
        <w:rPr>
          <w:rFonts w:hint="eastAsia"/>
        </w:rPr>
        <w:t xml:space="preserve"> 科技支撑保障</w:t>
      </w:r>
      <w:bookmarkEnd w:id="47"/>
    </w:p>
    <w:p>
      <w:pPr>
        <w:ind w:firstLine="594"/>
      </w:pPr>
      <w:r>
        <w:rPr>
          <w:rFonts w:hint="eastAsia"/>
        </w:rPr>
        <w:t>建立非煤矿山重大危险源数据库，根据重大危险源的普查情况，利用重大危险源、重大事故隐患分布和基本情况台账，为生产安全事故应急救援提供基本信息。</w:t>
      </w:r>
    </w:p>
    <w:p>
      <w:pPr>
        <w:ind w:firstLine="594"/>
      </w:pPr>
      <w:r>
        <w:t>利用已建立的数据库，掌握生产安全管理信息，为生产安全事故应急救援提供保障。</w:t>
      </w:r>
    </w:p>
    <w:p>
      <w:pPr>
        <w:ind w:firstLine="594"/>
      </w:pPr>
      <w:r>
        <w:t>依托高等院校和科研院所，开展生产安全事故应急救援技术、装备等专项研究，加强生产安全事故应急救援技术储备，为生产安全事故应急救援提供技术支持。</w:t>
      </w:r>
    </w:p>
    <w:p>
      <w:pPr>
        <w:pStyle w:val="3"/>
      </w:pPr>
      <w:bookmarkStart w:id="48" w:name="_Toc88998145"/>
      <w:r>
        <w:t>7</w:t>
      </w:r>
      <w:r>
        <w:rPr>
          <w:rFonts w:hint="eastAsia"/>
        </w:rPr>
        <w:t>.</w:t>
      </w:r>
      <w:r>
        <w:t>10</w:t>
      </w:r>
      <w:r>
        <w:rPr>
          <w:rFonts w:hint="eastAsia"/>
        </w:rPr>
        <w:t xml:space="preserve"> 电力保障</w:t>
      </w:r>
      <w:bookmarkEnd w:id="48"/>
    </w:p>
    <w:p>
      <w:pPr>
        <w:ind w:firstLine="594"/>
      </w:pPr>
      <w:r>
        <w:rPr>
          <w:rFonts w:hint="eastAsia"/>
        </w:rPr>
        <w:t>海南电网公司</w:t>
      </w:r>
      <w:r>
        <w:tab/>
      </w:r>
      <w:r>
        <w:rPr>
          <w:rFonts w:hint="eastAsia"/>
        </w:rPr>
        <w:t>负责编制海南省生产安全事故应急电力保障方案，为</w:t>
      </w:r>
      <w:r>
        <w:t>应急救援提供电力保障。</w:t>
      </w:r>
    </w:p>
    <w:p>
      <w:pPr>
        <w:pStyle w:val="3"/>
      </w:pPr>
      <w:bookmarkStart w:id="49" w:name="_Toc88998146"/>
      <w:r>
        <w:t>7</w:t>
      </w:r>
      <w:r>
        <w:rPr>
          <w:rFonts w:hint="eastAsia"/>
        </w:rPr>
        <w:t>.</w:t>
      </w:r>
      <w:r>
        <w:t>11</w:t>
      </w:r>
      <w:r>
        <w:rPr>
          <w:rFonts w:hint="eastAsia"/>
        </w:rPr>
        <w:t xml:space="preserve"> 保险制度</w:t>
      </w:r>
      <w:bookmarkEnd w:id="49"/>
    </w:p>
    <w:p>
      <w:pPr>
        <w:ind w:firstLine="594"/>
      </w:pPr>
      <w:r>
        <w:rPr>
          <w:rFonts w:hint="eastAsia"/>
          <w:color w:val="000000"/>
        </w:rPr>
        <w:t>鼓励各级人民政府建立政府推动与市场运作相结合的生产安全事故防范、处置及补偿机制，对存在较高安全生产风险的企业实行强制保险</w:t>
      </w:r>
      <w:r>
        <w:rPr>
          <w:rFonts w:hint="eastAsia"/>
        </w:rPr>
        <w:t>。鼓励保险机构根据法律法规的要求、地区安全生产情况和企业需求，做好安全生产责任保险产品的开发工作，为安全生产风险隐患提供保险保障，做好生产安全事故的应急处置、定损、赔偿等服务。鼓励生产经营单位投保安全生产责任保险，鼓励社会公众参与商业保障和互助保险，建立生产安全事故风险分担机制。</w:t>
      </w:r>
    </w:p>
    <w:p>
      <w:pPr>
        <w:pStyle w:val="2"/>
      </w:pPr>
      <w:bookmarkStart w:id="50" w:name="_Toc88998147"/>
      <w:r>
        <w:rPr>
          <w:rFonts w:hint="eastAsia"/>
        </w:rPr>
        <w:t>8 预案管理</w:t>
      </w:r>
      <w:bookmarkEnd w:id="50"/>
    </w:p>
    <w:p>
      <w:pPr>
        <w:pStyle w:val="3"/>
      </w:pPr>
      <w:bookmarkStart w:id="51" w:name="_Toc88998148"/>
      <w:r>
        <w:rPr>
          <w:rFonts w:hint="eastAsia"/>
        </w:rPr>
        <w:t>8.1 应急演练</w:t>
      </w:r>
      <w:bookmarkEnd w:id="51"/>
    </w:p>
    <w:p>
      <w:pPr>
        <w:ind w:firstLine="594"/>
      </w:pPr>
      <w:r>
        <w:rPr>
          <w:rFonts w:hint="eastAsia"/>
        </w:rPr>
        <w:t>省应急厅（省非煤矿山主管部门）会同有关部门不定期组织开展本预案演练，并加强对应急演练工作的督查指导。本预案演练应当至少每</w:t>
      </w:r>
      <w:r>
        <w:t>2年组织一次，演练结束后，省</w:t>
      </w:r>
      <w:r>
        <w:rPr>
          <w:rFonts w:hint="eastAsia"/>
        </w:rPr>
        <w:t>应急厅</w:t>
      </w:r>
      <w:r>
        <w:t>及参演单位应对演练效果进行评价，及时分析问题、整改完善。</w:t>
      </w:r>
    </w:p>
    <w:p>
      <w:pPr>
        <w:pStyle w:val="3"/>
      </w:pPr>
      <w:bookmarkStart w:id="52" w:name="_Toc88998149"/>
      <w:r>
        <w:rPr>
          <w:rFonts w:hint="eastAsia"/>
        </w:rPr>
        <w:t>8.2 宣传培训</w:t>
      </w:r>
      <w:bookmarkEnd w:id="52"/>
    </w:p>
    <w:p>
      <w:pPr>
        <w:ind w:firstLine="594"/>
      </w:pPr>
      <w:r>
        <w:t>各级人民政府、各有关单位要积极利用电视、广播、报刊等新闻媒体，广泛宣传相关法律法规、应急预案和公众避险、自救、互救知识，增强公众</w:t>
      </w:r>
      <w:r>
        <w:rPr>
          <w:rFonts w:hint="eastAsia"/>
        </w:rPr>
        <w:t>非煤矿山</w:t>
      </w:r>
      <w:r>
        <w:t>防灾减灾意识。省</w:t>
      </w:r>
      <w:r>
        <w:rPr>
          <w:rFonts w:hint="eastAsia"/>
        </w:rPr>
        <w:t>应急厅等有关单位应组织非煤矿山监管干部、应急救援人员开展应急管理相关培训，提升其预防和应对非煤矿山生产安全事故的意识和能力。</w:t>
      </w:r>
    </w:p>
    <w:p>
      <w:pPr>
        <w:pStyle w:val="3"/>
      </w:pPr>
      <w:bookmarkStart w:id="53" w:name="_Toc88998150"/>
      <w:r>
        <w:t>8</w:t>
      </w:r>
      <w:r>
        <w:rPr>
          <w:rFonts w:hint="eastAsia"/>
        </w:rPr>
        <w:t>.</w:t>
      </w:r>
      <w:r>
        <w:t>3</w:t>
      </w:r>
      <w:r>
        <w:rPr>
          <w:rFonts w:hint="eastAsia"/>
        </w:rPr>
        <w:t xml:space="preserve"> 预案修订</w:t>
      </w:r>
      <w:bookmarkEnd w:id="53"/>
    </w:p>
    <w:p>
      <w:pPr>
        <w:ind w:firstLine="594"/>
      </w:pPr>
      <w:r>
        <w:t>省应急厅负责建立</w:t>
      </w:r>
      <w:r>
        <w:rPr>
          <w:rFonts w:hint="eastAsia"/>
        </w:rPr>
        <w:t>本</w:t>
      </w:r>
      <w:r>
        <w:t>预案</w:t>
      </w:r>
      <w:r>
        <w:rPr>
          <w:rFonts w:hint="eastAsia"/>
        </w:rPr>
        <w:t>的</w:t>
      </w:r>
      <w:r>
        <w:t>评估制度，原则上至少每</w:t>
      </w:r>
      <w:r>
        <w:rPr>
          <w:rFonts w:hint="eastAsia"/>
        </w:rPr>
        <w:t>三</w:t>
      </w:r>
      <w:r>
        <w:t>年对本预案评估</w:t>
      </w:r>
      <w:r>
        <w:rPr>
          <w:rFonts w:hint="eastAsia"/>
        </w:rPr>
        <w:t>一</w:t>
      </w:r>
      <w:r>
        <w:t>次，并根据评估结果进行修订。有关法律法规对应急预案修订周期另有规定的，从其规定。有下列情形之一时，应当及时修订本预案：</w:t>
      </w:r>
    </w:p>
    <w:p>
      <w:pPr>
        <w:ind w:firstLine="594"/>
      </w:pPr>
      <w:r>
        <w:rPr>
          <w:rFonts w:hint="eastAsia"/>
        </w:rPr>
        <w:t>（1）有关法律、行政法规、规章、标准、上位预案中的有关规定发生变化的；</w:t>
      </w:r>
    </w:p>
    <w:p>
      <w:pPr>
        <w:ind w:firstLine="594"/>
      </w:pPr>
      <w:r>
        <w:rPr>
          <w:rFonts w:hint="eastAsia"/>
        </w:rPr>
        <w:t>（2）应急指挥机构及其职责发生重大调整的；</w:t>
      </w:r>
    </w:p>
    <w:p>
      <w:pPr>
        <w:ind w:firstLine="594"/>
      </w:pPr>
      <w:r>
        <w:rPr>
          <w:rFonts w:hint="eastAsia"/>
        </w:rPr>
        <w:t>（3）面临的风险发生重大变化的；</w:t>
      </w:r>
    </w:p>
    <w:p>
      <w:pPr>
        <w:ind w:firstLine="594"/>
      </w:pPr>
      <w:r>
        <w:rPr>
          <w:rFonts w:hint="eastAsia"/>
        </w:rPr>
        <w:t>（4）重要应急资源发生重大变化的；</w:t>
      </w:r>
    </w:p>
    <w:p>
      <w:pPr>
        <w:ind w:firstLine="594"/>
      </w:pPr>
      <w:r>
        <w:rPr>
          <w:rFonts w:hint="eastAsia"/>
        </w:rPr>
        <w:t>（5）预案中的其他重要信息发生变化的；</w:t>
      </w:r>
    </w:p>
    <w:p>
      <w:pPr>
        <w:ind w:firstLine="594"/>
      </w:pPr>
      <w:r>
        <w:rPr>
          <w:rFonts w:hint="eastAsia"/>
        </w:rPr>
        <w:t>（6）在事故实际应对和应急演练中发现问题需要作出重大调整的；</w:t>
      </w:r>
    </w:p>
    <w:p>
      <w:pPr>
        <w:ind w:firstLine="594"/>
      </w:pPr>
      <w:r>
        <w:rPr>
          <w:rFonts w:hint="eastAsia"/>
        </w:rPr>
        <w:t>（7）应急预案制定单位认为应当修订的其他情况。</w:t>
      </w:r>
    </w:p>
    <w:p>
      <w:pPr>
        <w:pStyle w:val="3"/>
      </w:pPr>
      <w:bookmarkStart w:id="54" w:name="_Toc88998151"/>
      <w:r>
        <w:t>8</w:t>
      </w:r>
      <w:r>
        <w:rPr>
          <w:rFonts w:hint="eastAsia"/>
        </w:rPr>
        <w:t>.</w:t>
      </w:r>
      <w:r>
        <w:t>4</w:t>
      </w:r>
      <w:r>
        <w:rPr>
          <w:rFonts w:hint="eastAsia"/>
        </w:rPr>
        <w:t xml:space="preserve"> 预案实施</w:t>
      </w:r>
      <w:bookmarkEnd w:id="54"/>
    </w:p>
    <w:p>
      <w:pPr>
        <w:ind w:firstLine="594"/>
        <w:sectPr>
          <w:pgSz w:w="11906" w:h="16838"/>
          <w:pgMar w:top="2098" w:right="1797" w:bottom="1588" w:left="1797" w:header="567" w:footer="0" w:gutter="0"/>
          <w:pgNumType w:fmt="numberInDash"/>
          <w:cols w:space="425" w:num="1"/>
          <w:docGrid w:type="linesAndChars" w:linePitch="597" w:charSpace="-4740"/>
        </w:sectPr>
      </w:pPr>
      <w:r>
        <w:rPr>
          <w:rFonts w:hint="eastAsia"/>
        </w:rPr>
        <w:t>本</w:t>
      </w:r>
      <w:r>
        <w:t>预案自印发之日起施行</w:t>
      </w:r>
      <w:r>
        <w:rPr>
          <w:rFonts w:hint="eastAsia"/>
        </w:rPr>
        <w:t>，《海南省非煤矿山安全生产事故灾难应急预案》（2</w:t>
      </w:r>
      <w:r>
        <w:t>016</w:t>
      </w:r>
      <w:r>
        <w:rPr>
          <w:rFonts w:hint="eastAsia"/>
        </w:rPr>
        <w:t>年版）同时废止。</w:t>
      </w:r>
    </w:p>
    <w:p>
      <w:pPr>
        <w:pStyle w:val="2"/>
      </w:pPr>
      <w:bookmarkStart w:id="55" w:name="_Toc88998152"/>
      <w:r>
        <w:rPr>
          <w:rFonts w:hint="eastAsia"/>
        </w:rPr>
        <w:t xml:space="preserve">9 附 </w:t>
      </w:r>
      <w:r>
        <w:t xml:space="preserve"> </w:t>
      </w:r>
      <w:r>
        <w:rPr>
          <w:rFonts w:hint="eastAsia"/>
        </w:rPr>
        <w:t>则</w:t>
      </w:r>
      <w:bookmarkEnd w:id="55"/>
    </w:p>
    <w:p>
      <w:pPr>
        <w:pStyle w:val="3"/>
      </w:pPr>
      <w:bookmarkStart w:id="56" w:name="_Toc88998153"/>
      <w:r>
        <w:rPr>
          <w:rFonts w:hint="eastAsia"/>
        </w:rPr>
        <w:t>9</w:t>
      </w:r>
      <w:r>
        <w:t>.1 海南省</w:t>
      </w:r>
      <w:r>
        <w:rPr>
          <w:rFonts w:hint="eastAsia"/>
        </w:rPr>
        <w:t>非煤矿山生产安全事故部门应急职责</w:t>
      </w:r>
      <w:bookmarkEnd w:id="56"/>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26"/>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b/>
                <w:sz w:val="24"/>
                <w:szCs w:val="21"/>
              </w:rPr>
            </w:pPr>
            <w:r>
              <w:rPr>
                <w:rFonts w:hint="eastAsia"/>
                <w:b/>
                <w:sz w:val="24"/>
                <w:szCs w:val="21"/>
              </w:rPr>
              <w:t>序号</w:t>
            </w:r>
          </w:p>
        </w:tc>
        <w:tc>
          <w:tcPr>
            <w:tcW w:w="2126" w:type="dxa"/>
            <w:shd w:val="clear" w:color="auto" w:fill="auto"/>
            <w:noWrap/>
            <w:vAlign w:val="center"/>
          </w:tcPr>
          <w:p>
            <w:pPr>
              <w:spacing w:line="240" w:lineRule="auto"/>
              <w:ind w:firstLine="0" w:firstLineChars="0"/>
              <w:jc w:val="center"/>
              <w:rPr>
                <w:b/>
                <w:sz w:val="24"/>
                <w:szCs w:val="21"/>
              </w:rPr>
            </w:pPr>
            <w:r>
              <w:rPr>
                <w:rFonts w:hint="eastAsia"/>
                <w:b/>
                <w:sz w:val="24"/>
                <w:szCs w:val="21"/>
              </w:rPr>
              <w:t>部门（单位）简称</w:t>
            </w:r>
          </w:p>
        </w:tc>
        <w:tc>
          <w:tcPr>
            <w:tcW w:w="10915" w:type="dxa"/>
            <w:shd w:val="clear" w:color="auto" w:fill="auto"/>
            <w:noWrap/>
            <w:vAlign w:val="center"/>
          </w:tcPr>
          <w:p>
            <w:pPr>
              <w:spacing w:line="240" w:lineRule="auto"/>
              <w:ind w:firstLine="0" w:firstLineChars="0"/>
              <w:jc w:val="center"/>
              <w:rPr>
                <w:b/>
                <w:sz w:val="24"/>
                <w:szCs w:val="21"/>
              </w:rPr>
            </w:pPr>
            <w:r>
              <w:rPr>
                <w:rFonts w:hint="eastAsia"/>
                <w:b/>
                <w:sz w:val="24"/>
                <w:szCs w:val="21"/>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省委宣传部</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负责指导事故应急救援工作的新闻报道，组织、协调省内新闻媒体统一发稿；涉及事故原因和责任问题的信息发布、新闻报道按有关规定报批。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省人民政府办公厅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负责省政府关于生产安全事故期间的应急值守工作，配合做好事故协调、信息发布工作。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省发改委</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负责为海南省影响较大的地方性突发事件提供必要的物资方面支持与保障（重点为成品油保障），按省非煤矿山生产安全事故应急救援指挥部要求提供事故常用应急救援物资的储备数量和地点。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4</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省旅文厅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根据实际情况，配合做好非煤矿山生产安全事故的应急救援和调查处理工作。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5</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省农业农村厅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根据实际情况，配合做好非煤矿山生产安全事故的应急救援和调查处理工作。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6</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省工信厅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负责非煤矿山生产安全事故应急通信的无线电频率协调保障。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7</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省财政厅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按照事权和支出责任划分原则，落实省级生产安全事故应急处置工作经费。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8</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省人社厅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负责组织指导各地区对事故伤亡人员的工伤认定和工伤保险待遇支付工作，并参与善后处理工作。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9</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省教育厅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根据实际情况，配合做好非煤矿山生产安全事故的应急救援和调查处理工作。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10</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省卫健委</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负责组织对矿山事故伤员的医疗救护，根据就近原则和医疗能力确定救治医院，指导救治医院储备相应的医疗器械和急救药品；组织开展现场救护及伤员转运，做好伤员分检、救治的统计工作。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11</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省公安厅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负责组织、指导制定人员疏散和事故现场警戒方案，组织</w:t>
            </w:r>
            <w:r>
              <w:rPr>
                <w:sz w:val="21"/>
                <w:szCs w:val="21"/>
              </w:rPr>
              <w:t>事故</w:t>
            </w:r>
            <w:r>
              <w:rPr>
                <w:rFonts w:hint="eastAsia"/>
                <w:sz w:val="21"/>
                <w:szCs w:val="21"/>
              </w:rPr>
              <w:t>影响</w:t>
            </w:r>
            <w:r>
              <w:rPr>
                <w:sz w:val="21"/>
                <w:szCs w:val="21"/>
              </w:rPr>
              <w:t>区域内人员疏散撤离和撤离区域的治安管理</w:t>
            </w:r>
            <w:r>
              <w:rPr>
                <w:rFonts w:hint="eastAsia"/>
                <w:sz w:val="21"/>
                <w:szCs w:val="21"/>
              </w:rPr>
              <w:t>；负责组织、指导制定事故交通处置方案，加强事故现场区域周边道路交通管控的治安管理工作，禁止无关车辆和人员进入危险区域，保障救援通道的畅通；按照有关规定参与事故调查。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12</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省司法厅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负责在非煤矿山生产安全事故中存在的纠纷问题提供安全生产法律援助。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13</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省资规厅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承担非煤矿山生产安全事故后的地质灾害防治技术支撑工作。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14</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省生态环境厅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负责对矿山、尾矿库事故所造成的环境污染开展环境应急监测、分析并提出污染处置建议。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15</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省住建厅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负责指导因非煤矿山生产安全事故造成受损建（构）筑物的评估、鉴定、处置工作，指导事故发生城市开展相关城市基础设施和公用设施的处置和恢复重建工作。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16</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省交通运输厅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负责调动抢险运输单位，组织事故现场抢险物资、抢险人员和疏散人员的运送。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17</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省商务厅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根据实际情况，参与非煤矿山行业事故的应急救援和调查处理工作。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w:t>
            </w:r>
            <w:r>
              <w:rPr>
                <w:sz w:val="21"/>
                <w:szCs w:val="21"/>
              </w:rPr>
              <w:t>8</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省民政厅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负责会同有关部门指导、协调遇难人员遗体处置等相关事务。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19</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省水务厅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负责提供非煤矿山生产安全事故所在地河流、水库的水情、险情及泄洪等信息；参与组织协调水库运行、水利工程建设等生产安全事故的应急救援工作。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20</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省应急厅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指导、协调各市矿山事故应急救援体系建设；指导各级地方人民政府建立矿山专业应急救援队伍，协调、组织调动矿山专业应急救援队伍参与事故应急救援处置；组建矿山应急专家组，为应急救援提供技术支撑；组织开展矿山事故应急演练、救援评估和事故调查处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21</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省审计厅</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负责监督并审查非煤矿山生产安全事故应急救援过程中的支出工作。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22</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省林业局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负责落实全省综合防灾减灾规划相关要求，组织编制森林火灾防治规划并指导实施；指导开展防火巡护、火源管理、防火设施建设等工作‘组织指导国有林场林区开展防火宣传教育、监测预警、督促检查工作。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23</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省国资委</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提供矿山事故区域相关地质资料，协助指导矿山事故应急处置。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24</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省市场监管局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指导、协调非煤矿山生产安全事故涉及原料、产品及其包装物的质量检测、质量鉴定和事故现场压力容器、压力管道等特种设备检测、认定，提出应急救援技术措施，对事故救援现场所需特种设备提供技术支持。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25</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省气象局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负责重大灾害性天气的监测、预报、报警工作，及时发布天气预警、预报信息；负责事故应急救援过程中的气象监测和气象预报工作。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26</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省地震局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负责建立非煤矿山应急救援过程中的地震监测、预报、预警和震害防御工作体系。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27</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海南海事局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负责非煤矿山生产安全事故现场的水上交通管控工作，依法参与船舶交通事故引发船载危险化学品污染内河水域或海域应急处置工作。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28</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民航海南安全监管局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经民航上级单位授权，负责牵头组织实施事故应急航空运输等工作。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29</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省通管局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监督、指导和协调基础电信运营企业做好矿山区域的通信保障工作。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30</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省大数据管理局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负责非煤矿山生产安全事故应急通信的无线电频率协调保障。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31</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省邮政管理局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根据实际情况，配合做好非煤矿山生产安全事故的应急救援和调查处理工作。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32</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海南银保监局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负责督促有关保险机构按照有关法律法规及保险合同约定做好保险理赔工作。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33</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省总工会</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依法参与重大、特别重大非煤矿山生产安全事故的调查处理，向有关部门提出处理意见，督促事故发生单位防范和整改措施的落实。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34</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武警海南总队</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组织应急救援队伍，参加矿山事故应急处置和救援工作；协助公安部门维护应急期间的社会治安秩序，协助当地人民政府转移、解救危险区域的群众。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35</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省消防救援总队</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参与现场被困人员的搜救, 按照有关规定参与事故的调查处理。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w:t>
            </w:r>
            <w:r>
              <w:rPr>
                <w:sz w:val="21"/>
                <w:szCs w:val="21"/>
              </w:rPr>
              <w:t>6</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南方能监局海南业务办公室</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根据实际情况，配合做好非煤矿山生产安全事故的应急救援和调查处理工作，组织或参与电力事故调查处理。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37</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省委网信办</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负责收集、跟踪境内外非煤矿山生产安全事故舆情，负责互联网的监控、管理及网上舆论引导工作。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38</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广州铁路监督管理局</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参与、协调涉及到非煤矿山的铁路交通事故、铁路工程施工领域的应急救援和调查处理工作；指导、督促铁路运输企业落实事故应急救援的各项规定。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39</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海南电网公司</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负责制定应急救援所需电网电力供应保障方案；储备相应的电力装备。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40</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海南铁路有限公司</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参与、协调涉及到非煤矿山的铁路交通事故、铁路工程施工领域的应急救援和调查处理工作；指导、督促铁路运输企业落实事故应急救援的各项规定。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41</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事发地市县人民政府</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按照有关规定及时向省非煤矿山生产安全事故应急救援指挥部及省直有关主管部门报告非煤矿山生产安全事故情况，并在第一时间采取应急处置措施，开展应急救援工作，为省应急指挥部组织应急救援提供保障。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spacing w:line="240" w:lineRule="auto"/>
              <w:ind w:firstLine="0" w:firstLineChars="0"/>
              <w:jc w:val="center"/>
              <w:rPr>
                <w:sz w:val="21"/>
                <w:szCs w:val="21"/>
              </w:rPr>
            </w:pPr>
            <w:r>
              <w:rPr>
                <w:rFonts w:hint="eastAsia"/>
                <w:sz w:val="21"/>
                <w:szCs w:val="21"/>
              </w:rPr>
              <w:t>42</w:t>
            </w:r>
          </w:p>
        </w:tc>
        <w:tc>
          <w:tcPr>
            <w:tcW w:w="2126" w:type="dxa"/>
            <w:shd w:val="clear" w:color="auto" w:fill="auto"/>
            <w:noWrap/>
            <w:vAlign w:val="center"/>
          </w:tcPr>
          <w:p>
            <w:pPr>
              <w:spacing w:line="240" w:lineRule="auto"/>
              <w:ind w:firstLine="0" w:firstLineChars="0"/>
              <w:rPr>
                <w:sz w:val="21"/>
                <w:szCs w:val="21"/>
              </w:rPr>
            </w:pPr>
            <w:r>
              <w:rPr>
                <w:rFonts w:hint="eastAsia"/>
                <w:sz w:val="21"/>
                <w:szCs w:val="21"/>
              </w:rPr>
              <w:t>其他成员</w:t>
            </w:r>
          </w:p>
        </w:tc>
        <w:tc>
          <w:tcPr>
            <w:tcW w:w="10915" w:type="dxa"/>
            <w:shd w:val="clear" w:color="auto" w:fill="auto"/>
            <w:noWrap/>
            <w:vAlign w:val="center"/>
          </w:tcPr>
          <w:p>
            <w:pPr>
              <w:spacing w:line="240" w:lineRule="auto"/>
              <w:ind w:firstLine="0" w:firstLineChars="0"/>
              <w:rPr>
                <w:sz w:val="21"/>
                <w:szCs w:val="21"/>
              </w:rPr>
            </w:pPr>
            <w:r>
              <w:rPr>
                <w:rFonts w:hint="eastAsia"/>
                <w:sz w:val="21"/>
                <w:szCs w:val="21"/>
              </w:rPr>
              <w:t>在省人民政府的统一领导下，配合做好非煤矿山生产安全事故应对工作。需要其他部门支持和配合时，省安委会负责协调。</w:t>
            </w:r>
          </w:p>
        </w:tc>
      </w:tr>
    </w:tbl>
    <w:p/>
    <w:p>
      <w:pPr>
        <w:pStyle w:val="3"/>
        <w:sectPr>
          <w:pgSz w:w="16838" w:h="11906" w:orient="landscape"/>
          <w:pgMar w:top="1701" w:right="1474" w:bottom="1134" w:left="1588" w:header="567" w:footer="0" w:gutter="0"/>
          <w:pgNumType w:fmt="numberInDash"/>
          <w:cols w:space="425" w:num="1"/>
          <w:docGrid w:type="linesAndChars" w:linePitch="435" w:charSpace="0"/>
        </w:sectPr>
      </w:pPr>
    </w:p>
    <w:p>
      <w:pPr>
        <w:pStyle w:val="3"/>
      </w:pPr>
      <w:bookmarkStart w:id="57" w:name="_Toc88998154"/>
      <w:r>
        <w:rPr>
          <w:rFonts w:hint="eastAsia"/>
        </w:rPr>
        <w:t>9.</w:t>
      </w:r>
      <w:r>
        <w:t xml:space="preserve">2 </w:t>
      </w:r>
      <w:r>
        <w:rPr>
          <w:rFonts w:hint="eastAsia"/>
        </w:rPr>
        <w:t>非煤矿山预警信息发布工作要求</w:t>
      </w:r>
      <w:bookmarkEnd w:id="57"/>
    </w:p>
    <w:p>
      <w:r>
        <w:rPr>
          <w:rFonts w:hint="eastAsia"/>
        </w:rPr>
        <w:t>各级人民政府和有关部门对非煤矿山生产安全事故可能造成的险情进行监测，及时上报可能引发重大及以上事故的险情，或其它灾害、灾难可能引发重大以上事故的重要信息，并及时发布预警。</w:t>
      </w:r>
    </w:p>
    <w:p/>
    <w:tbl>
      <w:tblPr>
        <w:tblStyle w:val="31"/>
        <w:tblW w:w="47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707"/>
        <w:gridCol w:w="2000"/>
        <w:gridCol w:w="1845"/>
        <w:gridCol w:w="1277"/>
        <w:gridCol w:w="2266"/>
        <w:gridCol w:w="260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65" w:type="pct"/>
            <w:tcBorders>
              <w:top w:val="single" w:color="auto" w:sz="4" w:space="0"/>
              <w:left w:val="single" w:color="auto" w:sz="4" w:space="0"/>
              <w:bottom w:val="single" w:color="auto" w:sz="4" w:space="0"/>
              <w:right w:val="single" w:color="auto" w:sz="4" w:space="0"/>
            </w:tcBorders>
            <w:vAlign w:val="center"/>
          </w:tcPr>
          <w:p>
            <w:pPr>
              <w:autoSpaceDN/>
              <w:adjustRightInd w:val="0"/>
              <w:spacing w:line="240" w:lineRule="auto"/>
              <w:ind w:firstLine="0" w:firstLineChars="0"/>
              <w:contextualSpacing/>
              <w:jc w:val="center"/>
              <w:rPr>
                <w:rFonts w:ascii="仿宋_GB2312" w:eastAsia="仿宋_GB2312"/>
                <w:b/>
                <w:color w:val="000000"/>
                <w:sz w:val="24"/>
              </w:rPr>
            </w:pPr>
            <w:r>
              <w:rPr>
                <w:rFonts w:hint="eastAsia" w:ascii="仿宋_GB2312" w:eastAsia="仿宋_GB2312"/>
                <w:b/>
                <w:color w:val="000000"/>
                <w:sz w:val="24"/>
              </w:rPr>
              <w:t>序号</w:t>
            </w:r>
          </w:p>
        </w:tc>
        <w:tc>
          <w:tcPr>
            <w:tcW w:w="264" w:type="pct"/>
            <w:tcBorders>
              <w:top w:val="single" w:color="auto" w:sz="4" w:space="0"/>
              <w:left w:val="single" w:color="auto" w:sz="4" w:space="0"/>
              <w:bottom w:val="single" w:color="auto" w:sz="4" w:space="0"/>
              <w:right w:val="single" w:color="auto" w:sz="4" w:space="0"/>
            </w:tcBorders>
            <w:vAlign w:val="center"/>
          </w:tcPr>
          <w:p>
            <w:pPr>
              <w:autoSpaceDN/>
              <w:adjustRightInd w:val="0"/>
              <w:spacing w:line="240" w:lineRule="auto"/>
              <w:ind w:firstLine="0" w:firstLineChars="0"/>
              <w:contextualSpacing/>
              <w:jc w:val="left"/>
              <w:rPr>
                <w:rFonts w:ascii="仿宋_GB2312" w:eastAsia="仿宋_GB2312"/>
                <w:b/>
                <w:color w:val="000000"/>
                <w:sz w:val="24"/>
              </w:rPr>
            </w:pPr>
            <w:r>
              <w:rPr>
                <w:rFonts w:hint="eastAsia" w:ascii="仿宋_GB2312" w:eastAsia="仿宋_GB2312"/>
                <w:b/>
                <w:color w:val="000000"/>
                <w:sz w:val="24"/>
              </w:rPr>
              <w:t>场景描述</w:t>
            </w:r>
          </w:p>
        </w:tc>
        <w:tc>
          <w:tcPr>
            <w:tcW w:w="747"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险情信息接收</w:t>
            </w:r>
          </w:p>
        </w:tc>
        <w:tc>
          <w:tcPr>
            <w:tcW w:w="689"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省级预警响应</w:t>
            </w:r>
          </w:p>
        </w:tc>
        <w:tc>
          <w:tcPr>
            <w:tcW w:w="477"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主管部门</w:t>
            </w:r>
          </w:p>
        </w:tc>
        <w:tc>
          <w:tcPr>
            <w:tcW w:w="846"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发布时限/处置时限</w:t>
            </w:r>
          </w:p>
        </w:tc>
        <w:tc>
          <w:tcPr>
            <w:tcW w:w="971"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省级预警处置措施</w:t>
            </w:r>
          </w:p>
        </w:tc>
        <w:tc>
          <w:tcPr>
            <w:tcW w:w="741" w:type="pct"/>
            <w:tcBorders>
              <w:top w:val="single" w:color="auto" w:sz="4" w:space="0"/>
              <w:left w:val="single" w:color="auto" w:sz="4" w:space="0"/>
              <w:bottom w:val="single" w:color="auto" w:sz="4" w:space="0"/>
              <w:right w:val="single" w:color="auto" w:sz="4" w:space="0"/>
            </w:tcBorders>
            <w:vAlign w:val="center"/>
          </w:tcPr>
          <w:p>
            <w:pPr>
              <w:autoSpaceDN/>
              <w:adjustRightInd w:val="0"/>
              <w:snapToGrid w:val="0"/>
              <w:spacing w:line="240" w:lineRule="auto"/>
              <w:ind w:firstLine="0" w:firstLineChars="0"/>
              <w:jc w:val="left"/>
              <w:rPr>
                <w:rFonts w:ascii="仿宋_GB2312" w:eastAsia="仿宋_GB2312"/>
                <w:b/>
                <w:color w:val="000000"/>
                <w:sz w:val="24"/>
              </w:rPr>
            </w:pPr>
            <w:r>
              <w:rPr>
                <w:rFonts w:hint="eastAsia" w:ascii="仿宋_GB2312" w:eastAsia="仿宋_GB2312"/>
                <w:b/>
                <w:color w:val="000000"/>
                <w:sz w:val="24"/>
              </w:rPr>
              <w:t>行动部门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65" w:type="pct"/>
            <w:vMerge w:val="restart"/>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r>
              <w:rPr>
                <w:rFonts w:ascii="仿宋_GB2312" w:eastAsia="仿宋_GB2312"/>
                <w:color w:val="000000"/>
                <w:sz w:val="21"/>
                <w:szCs w:val="21"/>
              </w:rPr>
              <w:t>1</w:t>
            </w:r>
          </w:p>
        </w:tc>
        <w:tc>
          <w:tcPr>
            <w:tcW w:w="264" w:type="pct"/>
            <w:vMerge w:val="restart"/>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矿井发生透水险情。</w:t>
            </w:r>
          </w:p>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restart"/>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市县级人民政府自接收险情后立即将险情信息报告至省人民政府及主管部门，并及时采取先期处置工作</w:t>
            </w:r>
          </w:p>
        </w:tc>
        <w:tc>
          <w:tcPr>
            <w:tcW w:w="689" w:type="pct"/>
            <w:vMerge w:val="restart"/>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险情不断扩大，省人民政府及主管部门根据险情可能造成的后果及影响范围，研判预警级别，发布省级预警</w:t>
            </w:r>
          </w:p>
        </w:tc>
        <w:tc>
          <w:tcPr>
            <w:tcW w:w="477" w:type="pct"/>
            <w:vMerge w:val="restart"/>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省应急厅</w:t>
            </w:r>
          </w:p>
        </w:tc>
        <w:tc>
          <w:tcPr>
            <w:tcW w:w="846" w:type="pct"/>
            <w:vMerge w:val="restart"/>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接收险情并核实研判后，</w:t>
            </w:r>
            <w:r>
              <w:rPr>
                <w:rFonts w:ascii="仿宋_GB2312" w:eastAsia="仿宋_GB2312"/>
                <w:color w:val="000000"/>
                <w:sz w:val="21"/>
                <w:szCs w:val="21"/>
              </w:rPr>
              <w:t>20</w:t>
            </w:r>
            <w:r>
              <w:rPr>
                <w:rFonts w:hint="eastAsia" w:ascii="仿宋_GB2312" w:eastAsia="仿宋_GB2312"/>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hint="eastAsia" w:ascii="仿宋_GB2312" w:eastAsia="仿宋_GB2312"/>
                <w:color w:val="000000"/>
                <w:sz w:val="21"/>
                <w:szCs w:val="21"/>
              </w:rPr>
              <w:t>分钟内完成处置措施布置</w:t>
            </w: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组织先期抢险救援行动</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事发地市县人民政府等部门和单位及相关企业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组织疏散可能影响区域的群众，封锁有关场所，划定警戒区，维护现场秩序</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迅速控制危险源。在确保安全的情况下对透水源头进行控制，防止事态扩大恶化，对人员进行搜救</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协助调集、征用救援车辆等，做好事故现场抢险物资和抢险人员运送工作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对遭受伤害的人员进行医疗救护</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医疗救护部门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及时播报相关气象信息</w:t>
            </w:r>
          </w:p>
        </w:tc>
        <w:tc>
          <w:tcPr>
            <w:tcW w:w="741" w:type="pct"/>
            <w:tcBorders>
              <w:top w:val="single" w:color="000000" w:sz="4" w:space="0"/>
              <w:left w:val="nil"/>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气象部门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65" w:type="pct"/>
            <w:vMerge w:val="restart"/>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r>
              <w:rPr>
                <w:rFonts w:ascii="仿宋_GB2312" w:eastAsia="仿宋_GB2312"/>
                <w:color w:val="000000"/>
                <w:sz w:val="21"/>
                <w:szCs w:val="21"/>
              </w:rPr>
              <w:t>2</w:t>
            </w:r>
          </w:p>
        </w:tc>
        <w:tc>
          <w:tcPr>
            <w:tcW w:w="264" w:type="pct"/>
            <w:vMerge w:val="restart"/>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尾矿库由于地质灾害等原因发生垮坝险情</w:t>
            </w:r>
          </w:p>
        </w:tc>
        <w:tc>
          <w:tcPr>
            <w:tcW w:w="747" w:type="pct"/>
            <w:vMerge w:val="restart"/>
            <w:tcBorders>
              <w:top w:val="single" w:color="auto" w:sz="4" w:space="0"/>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市县级人民政府自接收险情后立即将险情信息报告至省人民政府及主管部门，市县级人民政府采取先期处置工作</w:t>
            </w:r>
          </w:p>
        </w:tc>
        <w:tc>
          <w:tcPr>
            <w:tcW w:w="689" w:type="pct"/>
            <w:vMerge w:val="restart"/>
            <w:tcBorders>
              <w:top w:val="single" w:color="auto" w:sz="4" w:space="0"/>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险情不断扩大，省人民政府及主管部门根据险情可能造成的后果及影响范围，研判预警级别，发布省级预警</w:t>
            </w:r>
          </w:p>
        </w:tc>
        <w:tc>
          <w:tcPr>
            <w:tcW w:w="477" w:type="pct"/>
            <w:vMerge w:val="restart"/>
            <w:tcBorders>
              <w:top w:val="single" w:color="auto" w:sz="4" w:space="0"/>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省应急厅</w:t>
            </w:r>
          </w:p>
        </w:tc>
        <w:tc>
          <w:tcPr>
            <w:tcW w:w="846" w:type="pct"/>
            <w:vMerge w:val="restart"/>
            <w:tcBorders>
              <w:top w:val="single" w:color="auto" w:sz="4" w:space="0"/>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接收险情并核实研判后，</w:t>
            </w:r>
            <w:r>
              <w:rPr>
                <w:rFonts w:ascii="仿宋_GB2312" w:eastAsia="仿宋_GB2312"/>
                <w:color w:val="000000"/>
                <w:sz w:val="21"/>
                <w:szCs w:val="21"/>
              </w:rPr>
              <w:t>20</w:t>
            </w:r>
            <w:r>
              <w:rPr>
                <w:rFonts w:hint="eastAsia" w:ascii="仿宋_GB2312" w:eastAsia="仿宋_GB2312"/>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hint="eastAsia" w:ascii="仿宋_GB2312" w:eastAsia="仿宋_GB2312"/>
                <w:color w:val="000000"/>
                <w:sz w:val="21"/>
                <w:szCs w:val="21"/>
              </w:rPr>
              <w:t>分钟内完成处置措施布置</w:t>
            </w:r>
          </w:p>
          <w:p>
            <w:pPr>
              <w:ind w:firstLine="420"/>
              <w:rPr>
                <w:rFonts w:ascii="仿宋_GB2312" w:eastAsia="仿宋_GB2312"/>
                <w:sz w:val="21"/>
                <w:szCs w:val="21"/>
              </w:rPr>
            </w:pPr>
          </w:p>
          <w:p>
            <w:pPr>
              <w:ind w:firstLine="420"/>
              <w:rPr>
                <w:rFonts w:ascii="仿宋_GB2312" w:eastAsia="仿宋_GB2312"/>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组织先期抢险救援行动</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事发地市县人民政府等部门和单位及相关企业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组织疏散可能影响区域的群众，封锁有关场所，划定警戒区，维护现场秩序</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在确保安全的情况下对尾矿进行排洪，防止事态扩大恶化，对人员进行搜救</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协助调集、征用救援车辆等，做好事故现场抢险物资和抢险人员运送工作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对遭受伤害的人员进行医疗救护</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医疗救护部门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及时播报相关气象信息</w:t>
            </w:r>
          </w:p>
        </w:tc>
        <w:tc>
          <w:tcPr>
            <w:tcW w:w="741" w:type="pct"/>
            <w:tcBorders>
              <w:top w:val="single" w:color="000000" w:sz="4" w:space="0"/>
              <w:left w:val="nil"/>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气象部门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负责预警相关程序，迅速发出预警，组织疏散非必要人员，同时向省人民政府有关部门报告险情情况</w:t>
            </w:r>
          </w:p>
        </w:tc>
        <w:tc>
          <w:tcPr>
            <w:tcW w:w="741" w:type="pct"/>
            <w:tcBorders>
              <w:top w:val="single" w:color="000000" w:sz="4" w:space="0"/>
              <w:left w:val="nil"/>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应急</w:t>
            </w:r>
            <w:r>
              <w:rPr>
                <w:rFonts w:hint="eastAsia" w:ascii="仿宋_GB2312" w:eastAsia="仿宋_GB2312"/>
                <w:color w:val="000000"/>
                <w:sz w:val="21"/>
                <w:szCs w:val="21"/>
              </w:rPr>
              <w:t>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指导、协调现场及周边道路交通管制工作，协助组织受灾群众安全疏散应急救援工作</w:t>
            </w:r>
          </w:p>
        </w:tc>
        <w:tc>
          <w:tcPr>
            <w:tcW w:w="741" w:type="pct"/>
            <w:tcBorders>
              <w:top w:val="single" w:color="000000" w:sz="4" w:space="0"/>
              <w:left w:val="nil"/>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负责</w:t>
            </w:r>
            <w:r>
              <w:rPr>
                <w:rFonts w:hint="eastAsia" w:ascii="仿宋_GB2312" w:eastAsia="仿宋_GB2312"/>
                <w:color w:val="000000"/>
                <w:sz w:val="21"/>
                <w:szCs w:val="21"/>
              </w:rPr>
              <w:t>受困</w:t>
            </w:r>
            <w:r>
              <w:rPr>
                <w:rFonts w:ascii="仿宋_GB2312" w:eastAsia="仿宋_GB2312"/>
                <w:color w:val="000000"/>
                <w:sz w:val="21"/>
                <w:szCs w:val="21"/>
              </w:rPr>
              <w:t>人员搜救</w:t>
            </w:r>
          </w:p>
        </w:tc>
        <w:tc>
          <w:tcPr>
            <w:tcW w:w="741" w:type="pct"/>
            <w:tcBorders>
              <w:top w:val="single" w:color="000000" w:sz="4" w:space="0"/>
              <w:left w:val="nil"/>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消防救援</w:t>
            </w:r>
            <w:r>
              <w:rPr>
                <w:rFonts w:hint="eastAsia" w:ascii="仿宋_GB2312" w:eastAsia="仿宋_GB2312"/>
                <w:color w:val="000000"/>
                <w:sz w:val="21"/>
                <w:szCs w:val="21"/>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负责具体组织协调应急医疗救援</w:t>
            </w:r>
          </w:p>
        </w:tc>
        <w:tc>
          <w:tcPr>
            <w:tcW w:w="741" w:type="pct"/>
            <w:tcBorders>
              <w:top w:val="single" w:color="000000" w:sz="4" w:space="0"/>
              <w:left w:val="nil"/>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医疗救护部门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top w:val="single" w:color="auto" w:sz="4" w:space="0"/>
              <w:left w:val="single" w:color="auto" w:sz="4" w:space="0"/>
              <w:bottom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ascii="仿宋_GB2312" w:eastAsia="仿宋_GB2312"/>
                <w:color w:val="000000"/>
                <w:sz w:val="21"/>
                <w:szCs w:val="21"/>
              </w:rPr>
              <w:t>处理城镇建筑事故的应急处置工作，并组织专家到场对建筑本体安全性进行检测和论证分析</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住建部门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指导、协调险情现场及周边道路交通管制工作，协助组织可能受影响区域群众安全疏散工作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协助调集、征用救援车辆等，做好事故现场抢险物资和抢险人员运送工作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控制险情，对可能遭受伤害人员进行救援</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对遭受伤害的人员进行医疗救护</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医疗救护部门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协调资源对人员进行妥善安置</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应急管理部门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指导、协调险情现场及周边道路交通管制工作，协助组织可能受影响区域群众安全疏散工作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协助调集、征用救援车辆等，做好事故现场物资和人员运送工作</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控制险情，对可能遭受伤害人员进行救援</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对遭受伤害的人员进行医疗救护</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hint="eastAsia" w:ascii="仿宋_GB2312" w:eastAsia="仿宋_GB2312"/>
                <w:color w:val="000000"/>
                <w:sz w:val="21"/>
                <w:szCs w:val="21"/>
              </w:rPr>
              <w:t>医疗救护部门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265" w:type="pct"/>
            <w:vMerge w:val="continue"/>
            <w:tcBorders>
              <w:left w:val="single" w:color="000000" w:sz="4" w:space="0"/>
              <w:right w:val="single" w:color="000000" w:sz="4" w:space="0"/>
            </w:tcBorders>
          </w:tcPr>
          <w:p>
            <w:pPr>
              <w:autoSpaceDN/>
              <w:adjustRightInd w:val="0"/>
              <w:spacing w:line="240" w:lineRule="exact"/>
              <w:ind w:firstLine="0" w:firstLineChars="0"/>
              <w:contextualSpacing/>
              <w:jc w:val="center"/>
              <w:rPr>
                <w:rFonts w:ascii="仿宋_GB2312" w:eastAsia="仿宋_GB2312"/>
                <w:color w:val="000000"/>
                <w:sz w:val="21"/>
                <w:szCs w:val="21"/>
              </w:rPr>
            </w:pPr>
          </w:p>
        </w:tc>
        <w:tc>
          <w:tcPr>
            <w:tcW w:w="264" w:type="pct"/>
            <w:vMerge w:val="continue"/>
            <w:tcBorders>
              <w:left w:val="nil"/>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74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689"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477"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846" w:type="pct"/>
            <w:vMerge w:val="continue"/>
            <w:tcBorders>
              <w:left w:val="single" w:color="auto" w:sz="4" w:space="0"/>
              <w:right w:val="single" w:color="auto"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p>
        </w:tc>
        <w:tc>
          <w:tcPr>
            <w:tcW w:w="971" w:type="pct"/>
            <w:tcBorders>
              <w:top w:val="single" w:color="000000" w:sz="4" w:space="0"/>
              <w:left w:val="single" w:color="auto" w:sz="4" w:space="0"/>
              <w:bottom w:val="single" w:color="000000" w:sz="4" w:space="0"/>
              <w:right w:val="single" w:color="000000" w:sz="4" w:space="0"/>
            </w:tcBorders>
          </w:tcPr>
          <w:p>
            <w:pPr>
              <w:autoSpaceDN/>
              <w:adjustRightInd w:val="0"/>
              <w:spacing w:line="240" w:lineRule="exact"/>
              <w:ind w:firstLine="0" w:firstLineChars="0"/>
              <w:contextualSpacing/>
              <w:jc w:val="left"/>
              <w:rPr>
                <w:rFonts w:ascii="仿宋_GB2312" w:eastAsia="仿宋_GB2312"/>
                <w:color w:val="000000"/>
                <w:sz w:val="21"/>
                <w:szCs w:val="21"/>
              </w:rPr>
            </w:pPr>
            <w:r>
              <w:rPr>
                <w:rFonts w:hint="eastAsia" w:ascii="仿宋_GB2312" w:eastAsia="仿宋_GB2312"/>
                <w:color w:val="000000"/>
                <w:sz w:val="21"/>
                <w:szCs w:val="21"/>
              </w:rPr>
              <w:t>协调资源对人员进行妥善安置</w:t>
            </w:r>
          </w:p>
        </w:tc>
        <w:tc>
          <w:tcPr>
            <w:tcW w:w="741" w:type="pct"/>
            <w:tcBorders>
              <w:top w:val="single" w:color="000000" w:sz="4" w:space="0"/>
              <w:left w:val="nil"/>
              <w:bottom w:val="single" w:color="000000" w:sz="4" w:space="0"/>
              <w:right w:val="single" w:color="000000" w:sz="4" w:space="0"/>
            </w:tcBorders>
          </w:tcPr>
          <w:p>
            <w:pPr>
              <w:adjustRightInd w:val="0"/>
              <w:snapToGrid w:val="0"/>
              <w:spacing w:line="240" w:lineRule="exact"/>
              <w:ind w:firstLine="0" w:firstLineChars="0"/>
              <w:jc w:val="left"/>
              <w:rPr>
                <w:rFonts w:ascii="仿宋_GB2312" w:eastAsia="仿宋_GB2312"/>
                <w:color w:val="000000"/>
                <w:sz w:val="21"/>
                <w:szCs w:val="21"/>
              </w:rPr>
            </w:pPr>
            <w:r>
              <w:rPr>
                <w:rFonts w:ascii="仿宋_GB2312" w:eastAsia="仿宋_GB2312"/>
                <w:color w:val="000000"/>
                <w:sz w:val="21"/>
                <w:szCs w:val="21"/>
              </w:rPr>
              <w:t>应急</w:t>
            </w:r>
            <w:r>
              <w:rPr>
                <w:rFonts w:hint="eastAsia" w:ascii="仿宋_GB2312" w:eastAsia="仿宋_GB2312"/>
                <w:color w:val="000000"/>
                <w:sz w:val="21"/>
                <w:szCs w:val="21"/>
              </w:rPr>
              <w:t>管理部门</w:t>
            </w:r>
          </w:p>
        </w:tc>
      </w:tr>
    </w:tbl>
    <w:p>
      <w:pPr>
        <w:sectPr>
          <w:pgSz w:w="16838" w:h="11906" w:orient="landscape"/>
          <w:pgMar w:top="1701" w:right="1474" w:bottom="1134" w:left="1588" w:header="851" w:footer="992" w:gutter="0"/>
          <w:pgNumType w:fmt="numberInDash"/>
          <w:cols w:space="425" w:num="1"/>
          <w:docGrid w:type="linesAndChars" w:linePitch="435" w:charSpace="0"/>
        </w:sectPr>
      </w:pPr>
    </w:p>
    <w:p>
      <w:pPr>
        <w:pStyle w:val="3"/>
      </w:pPr>
      <w:bookmarkStart w:id="58" w:name="_Toc88998155"/>
      <w:r>
        <w:rPr>
          <w:rFonts w:hint="eastAsia"/>
        </w:rPr>
        <w:t>9.</w:t>
      </w:r>
      <w:r>
        <w:t xml:space="preserve">3 </w:t>
      </w:r>
      <w:r>
        <w:rPr>
          <w:rFonts w:hint="eastAsia"/>
        </w:rPr>
        <w:t>非煤矿山企业安全生产十条规定</w:t>
      </w:r>
      <w:bookmarkEnd w:id="5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36" w:type="dxa"/>
            <w:shd w:val="clear" w:color="auto" w:fill="auto"/>
          </w:tcPr>
          <w:p>
            <w:pPr>
              <w:spacing w:line="240" w:lineRule="auto"/>
              <w:ind w:firstLine="0" w:firstLineChars="0"/>
              <w:jc w:val="center"/>
              <w:rPr>
                <w:b/>
                <w:sz w:val="21"/>
                <w:szCs w:val="21"/>
              </w:rPr>
            </w:pPr>
            <w:r>
              <w:rPr>
                <w:rFonts w:hint="eastAsia"/>
                <w:b/>
                <w:sz w:val="24"/>
                <w:szCs w:val="21"/>
              </w:rPr>
              <w:t>一、金属非金属地下矿山企业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36" w:type="dxa"/>
            <w:shd w:val="clear" w:color="auto" w:fill="auto"/>
          </w:tcPr>
          <w:p>
            <w:pPr>
              <w:spacing w:line="240" w:lineRule="auto"/>
              <w:ind w:firstLine="0" w:firstLineChars="0"/>
              <w:rPr>
                <w:sz w:val="21"/>
                <w:szCs w:val="21"/>
              </w:rPr>
            </w:pPr>
            <w:r>
              <w:rPr>
                <w:rFonts w:hint="eastAsia"/>
                <w:sz w:val="21"/>
                <w:szCs w:val="21"/>
              </w:rPr>
              <w:t>1.必须证照齐全有效，安全生产管理机构健全或配备专职安全生产管理人员，安全生产责任制落实，外包工程安全管理到位。</w:t>
            </w:r>
          </w:p>
          <w:p>
            <w:pPr>
              <w:spacing w:line="240" w:lineRule="auto"/>
              <w:ind w:firstLine="0" w:firstLineChars="0"/>
              <w:rPr>
                <w:sz w:val="21"/>
                <w:szCs w:val="21"/>
              </w:rPr>
            </w:pPr>
            <w:r>
              <w:rPr>
                <w:rFonts w:hint="eastAsia"/>
                <w:sz w:val="21"/>
                <w:szCs w:val="21"/>
              </w:rPr>
              <w:t>2.必须确保矿领导下井带班，全员培训合格，“三项岗位人员”持证上岗。</w:t>
            </w:r>
          </w:p>
          <w:p>
            <w:pPr>
              <w:spacing w:line="240" w:lineRule="auto"/>
              <w:ind w:firstLine="0" w:firstLineChars="0"/>
              <w:rPr>
                <w:sz w:val="21"/>
                <w:szCs w:val="21"/>
              </w:rPr>
            </w:pPr>
            <w:r>
              <w:rPr>
                <w:rFonts w:hint="eastAsia"/>
                <w:sz w:val="21"/>
                <w:szCs w:val="21"/>
              </w:rPr>
              <w:t>3.必须按规定设置安全出口并保持畅通，严禁独头开采。</w:t>
            </w:r>
          </w:p>
          <w:p>
            <w:pPr>
              <w:spacing w:line="240" w:lineRule="auto"/>
              <w:ind w:firstLine="0" w:firstLineChars="0"/>
              <w:rPr>
                <w:sz w:val="21"/>
                <w:szCs w:val="21"/>
              </w:rPr>
            </w:pPr>
            <w:r>
              <w:rPr>
                <w:rFonts w:hint="eastAsia"/>
                <w:sz w:val="21"/>
                <w:szCs w:val="21"/>
              </w:rPr>
              <w:t>4.必须建立机械通风系统，局部通风管理安全可靠。</w:t>
            </w:r>
          </w:p>
          <w:p>
            <w:pPr>
              <w:spacing w:line="240" w:lineRule="auto"/>
              <w:ind w:firstLine="0" w:firstLineChars="0"/>
              <w:rPr>
                <w:sz w:val="21"/>
                <w:szCs w:val="21"/>
              </w:rPr>
            </w:pPr>
            <w:r>
              <w:rPr>
                <w:rFonts w:hint="eastAsia"/>
                <w:sz w:val="21"/>
                <w:szCs w:val="21"/>
              </w:rPr>
              <w:t>5.必须配齐自救器和便携式气体检测仪。</w:t>
            </w:r>
          </w:p>
          <w:p>
            <w:pPr>
              <w:spacing w:line="240" w:lineRule="auto"/>
              <w:ind w:firstLine="0" w:firstLineChars="0"/>
              <w:rPr>
                <w:sz w:val="21"/>
                <w:szCs w:val="21"/>
              </w:rPr>
            </w:pPr>
            <w:r>
              <w:rPr>
                <w:rFonts w:hint="eastAsia"/>
                <w:sz w:val="21"/>
                <w:szCs w:val="21"/>
              </w:rPr>
              <w:t>6.必须加强顶板管理和采空区监测、治理。</w:t>
            </w:r>
          </w:p>
          <w:p>
            <w:pPr>
              <w:spacing w:line="240" w:lineRule="auto"/>
              <w:ind w:firstLine="0" w:firstLineChars="0"/>
              <w:rPr>
                <w:sz w:val="21"/>
                <w:szCs w:val="21"/>
              </w:rPr>
            </w:pPr>
            <w:r>
              <w:rPr>
                <w:rFonts w:hint="eastAsia"/>
                <w:sz w:val="21"/>
                <w:szCs w:val="21"/>
              </w:rPr>
              <w:t>7.必须落实探放水制度，加强水害隐患治理。</w:t>
            </w:r>
          </w:p>
          <w:p>
            <w:pPr>
              <w:spacing w:line="240" w:lineRule="auto"/>
              <w:ind w:firstLine="0" w:firstLineChars="0"/>
              <w:rPr>
                <w:sz w:val="21"/>
                <w:szCs w:val="21"/>
              </w:rPr>
            </w:pPr>
            <w:r>
              <w:rPr>
                <w:rFonts w:hint="eastAsia"/>
                <w:sz w:val="21"/>
                <w:szCs w:val="21"/>
              </w:rPr>
              <w:t>8.必须确保提升、运输设备安全可靠，严禁使用国家明令淘汰和未经检测检验合格的设备、材料。</w:t>
            </w:r>
          </w:p>
          <w:p>
            <w:pPr>
              <w:spacing w:line="240" w:lineRule="auto"/>
              <w:ind w:firstLine="0" w:firstLineChars="0"/>
              <w:rPr>
                <w:sz w:val="21"/>
                <w:szCs w:val="21"/>
              </w:rPr>
            </w:pPr>
            <w:r>
              <w:rPr>
                <w:rFonts w:hint="eastAsia"/>
                <w:sz w:val="21"/>
                <w:szCs w:val="21"/>
              </w:rPr>
              <w:t>9.必须落实爆破器材库和爆破作业安全管理。</w:t>
            </w:r>
          </w:p>
          <w:p>
            <w:pPr>
              <w:spacing w:line="240" w:lineRule="auto"/>
              <w:ind w:firstLine="0" w:firstLineChars="0"/>
              <w:rPr>
                <w:sz w:val="21"/>
                <w:szCs w:val="21"/>
              </w:rPr>
            </w:pPr>
            <w:r>
              <w:rPr>
                <w:rFonts w:hint="eastAsia"/>
                <w:sz w:val="21"/>
                <w:szCs w:val="21"/>
              </w:rPr>
              <w:t>10.必须建立专（兼）职应急救援队伍，确保救援装备和物资配备及应急演练到位。</w:t>
            </w:r>
          </w:p>
        </w:tc>
      </w:tr>
    </w:tbl>
    <w:p>
      <w:pPr>
        <w:spacing w:line="240" w:lineRule="auto"/>
        <w:ind w:firstLine="0" w:firstLineChars="0"/>
        <w:rPr>
          <w:sz w:val="2"/>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6" w:type="dxa"/>
            <w:shd w:val="clear" w:color="auto" w:fill="auto"/>
          </w:tcPr>
          <w:p>
            <w:pPr>
              <w:spacing w:line="240" w:lineRule="auto"/>
              <w:ind w:firstLine="0" w:firstLineChars="0"/>
              <w:jc w:val="center"/>
              <w:rPr>
                <w:b/>
                <w:sz w:val="21"/>
                <w:szCs w:val="21"/>
              </w:rPr>
            </w:pPr>
            <w:r>
              <w:rPr>
                <w:rFonts w:hint="eastAsia"/>
                <w:b/>
                <w:sz w:val="24"/>
                <w:szCs w:val="21"/>
              </w:rPr>
              <w:t>二、金属非金属露天矿山企业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6" w:type="dxa"/>
            <w:shd w:val="clear" w:color="auto" w:fill="auto"/>
          </w:tcPr>
          <w:p>
            <w:pPr>
              <w:spacing w:line="240" w:lineRule="auto"/>
              <w:ind w:firstLine="0" w:firstLineChars="0"/>
              <w:rPr>
                <w:sz w:val="21"/>
                <w:szCs w:val="21"/>
              </w:rPr>
            </w:pPr>
            <w:r>
              <w:rPr>
                <w:rFonts w:hint="eastAsia"/>
                <w:sz w:val="21"/>
                <w:szCs w:val="21"/>
              </w:rPr>
              <w:t xml:space="preserve">1.必须证照齐全有效，安全生产管理机构健全或配备专职安全生产管理人员，安全生产责任制落实，外包工程安全管理到位。 </w:t>
            </w:r>
          </w:p>
          <w:p>
            <w:pPr>
              <w:spacing w:line="240" w:lineRule="auto"/>
              <w:ind w:firstLine="0" w:firstLineChars="0"/>
              <w:rPr>
                <w:sz w:val="21"/>
                <w:szCs w:val="21"/>
              </w:rPr>
            </w:pPr>
            <w:r>
              <w:rPr>
                <w:rFonts w:hint="eastAsia"/>
                <w:sz w:val="21"/>
                <w:szCs w:val="21"/>
              </w:rPr>
              <w:t xml:space="preserve">2.必须确保全员培训合格，“三项岗位人员”持证上岗。 </w:t>
            </w:r>
          </w:p>
          <w:p>
            <w:pPr>
              <w:spacing w:line="240" w:lineRule="auto"/>
              <w:ind w:firstLine="0" w:firstLineChars="0"/>
              <w:rPr>
                <w:sz w:val="21"/>
                <w:szCs w:val="21"/>
              </w:rPr>
            </w:pPr>
            <w:r>
              <w:rPr>
                <w:rFonts w:hint="eastAsia"/>
                <w:sz w:val="21"/>
                <w:szCs w:val="21"/>
              </w:rPr>
              <w:t xml:space="preserve">3.必须确保相邻的采石场采矿许可范围之间最小距离大于300米。 </w:t>
            </w:r>
          </w:p>
          <w:p>
            <w:pPr>
              <w:spacing w:line="240" w:lineRule="auto"/>
              <w:ind w:firstLine="0" w:firstLineChars="0"/>
              <w:rPr>
                <w:sz w:val="21"/>
                <w:szCs w:val="21"/>
              </w:rPr>
            </w:pPr>
            <w:r>
              <w:rPr>
                <w:rFonts w:hint="eastAsia"/>
                <w:sz w:val="21"/>
                <w:szCs w:val="21"/>
              </w:rPr>
              <w:t xml:space="preserve">4.必须按设计自上而下分台阶分层开采。 </w:t>
            </w:r>
          </w:p>
          <w:p>
            <w:pPr>
              <w:spacing w:line="240" w:lineRule="auto"/>
              <w:ind w:firstLine="0" w:firstLineChars="0"/>
              <w:rPr>
                <w:sz w:val="21"/>
                <w:szCs w:val="21"/>
              </w:rPr>
            </w:pPr>
            <w:r>
              <w:rPr>
                <w:rFonts w:hint="eastAsia"/>
                <w:sz w:val="21"/>
                <w:szCs w:val="21"/>
              </w:rPr>
              <w:t xml:space="preserve">5.必须落实爆破作业安全管理规定，未经批准的必须采用中深孔爆破。 </w:t>
            </w:r>
          </w:p>
          <w:p>
            <w:pPr>
              <w:spacing w:line="240" w:lineRule="auto"/>
              <w:ind w:firstLine="0" w:firstLineChars="0"/>
              <w:rPr>
                <w:sz w:val="21"/>
                <w:szCs w:val="21"/>
              </w:rPr>
            </w:pPr>
            <w:r>
              <w:rPr>
                <w:rFonts w:hint="eastAsia"/>
                <w:sz w:val="21"/>
                <w:szCs w:val="21"/>
              </w:rPr>
              <w:t xml:space="preserve">6.必须实行湿式凿岩作业。 </w:t>
            </w:r>
          </w:p>
          <w:p>
            <w:pPr>
              <w:spacing w:line="240" w:lineRule="auto"/>
              <w:ind w:firstLine="0" w:firstLineChars="0"/>
              <w:rPr>
                <w:sz w:val="21"/>
                <w:szCs w:val="21"/>
              </w:rPr>
            </w:pPr>
            <w:r>
              <w:rPr>
                <w:rFonts w:hint="eastAsia"/>
                <w:sz w:val="21"/>
                <w:szCs w:val="21"/>
              </w:rPr>
              <w:t xml:space="preserve">7.必须使用机械二次破碎和铲装作业。 </w:t>
            </w:r>
          </w:p>
          <w:p>
            <w:pPr>
              <w:spacing w:line="240" w:lineRule="auto"/>
              <w:ind w:firstLine="0" w:firstLineChars="0"/>
              <w:rPr>
                <w:sz w:val="21"/>
                <w:szCs w:val="21"/>
              </w:rPr>
            </w:pPr>
            <w:r>
              <w:rPr>
                <w:rFonts w:hint="eastAsia"/>
                <w:sz w:val="21"/>
                <w:szCs w:val="21"/>
              </w:rPr>
              <w:t xml:space="preserve">8.必须落实边坡安全措施。 </w:t>
            </w:r>
          </w:p>
          <w:p>
            <w:pPr>
              <w:spacing w:line="240" w:lineRule="auto"/>
              <w:ind w:firstLine="0" w:firstLineChars="0"/>
              <w:rPr>
                <w:sz w:val="21"/>
                <w:szCs w:val="21"/>
              </w:rPr>
            </w:pPr>
            <w:r>
              <w:rPr>
                <w:rFonts w:hint="eastAsia"/>
                <w:sz w:val="21"/>
                <w:szCs w:val="21"/>
              </w:rPr>
              <w:t xml:space="preserve">9.必须按设计排土，加强排土场管理。 </w:t>
            </w:r>
          </w:p>
          <w:p>
            <w:pPr>
              <w:spacing w:line="240" w:lineRule="auto"/>
              <w:ind w:firstLine="0" w:firstLineChars="0"/>
              <w:rPr>
                <w:sz w:val="21"/>
                <w:szCs w:val="21"/>
              </w:rPr>
            </w:pPr>
            <w:r>
              <w:rPr>
                <w:rFonts w:hint="eastAsia"/>
                <w:sz w:val="21"/>
                <w:szCs w:val="21"/>
              </w:rPr>
              <w:t>10.必须建立专（兼）职应急救援队伍，确保应急装备和物资配备及应急演练到位。</w:t>
            </w:r>
          </w:p>
        </w:tc>
      </w:tr>
    </w:tbl>
    <w:p>
      <w:pPr>
        <w:spacing w:line="240" w:lineRule="auto"/>
        <w:ind w:firstLine="0" w:firstLineChars="0"/>
        <w:rPr>
          <w:sz w:val="2"/>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6" w:type="dxa"/>
            <w:shd w:val="clear" w:color="auto" w:fill="auto"/>
          </w:tcPr>
          <w:p>
            <w:pPr>
              <w:spacing w:line="240" w:lineRule="auto"/>
              <w:ind w:firstLine="0" w:firstLineChars="0"/>
              <w:rPr>
                <w:sz w:val="21"/>
                <w:szCs w:val="21"/>
              </w:rPr>
            </w:pPr>
            <w:r>
              <w:rPr>
                <w:rFonts w:hint="eastAsia"/>
                <w:sz w:val="21"/>
                <w:szCs w:val="21"/>
              </w:rPr>
              <w:t xml:space="preserve">三、金属非金属尾矿库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36" w:type="dxa"/>
            <w:shd w:val="clear" w:color="auto" w:fill="auto"/>
          </w:tcPr>
          <w:p>
            <w:pPr>
              <w:spacing w:line="240" w:lineRule="auto"/>
              <w:ind w:firstLine="0" w:firstLineChars="0"/>
              <w:rPr>
                <w:sz w:val="21"/>
                <w:szCs w:val="21"/>
              </w:rPr>
            </w:pPr>
            <w:r>
              <w:rPr>
                <w:rFonts w:hint="eastAsia"/>
                <w:sz w:val="21"/>
                <w:szCs w:val="21"/>
              </w:rPr>
              <w:t xml:space="preserve">1.必须证照齐全有效，安全生产责任制落实，配备专（兼）职安全技术人员。 </w:t>
            </w:r>
          </w:p>
          <w:p>
            <w:pPr>
              <w:spacing w:line="240" w:lineRule="auto"/>
              <w:ind w:firstLine="0" w:firstLineChars="0"/>
              <w:rPr>
                <w:sz w:val="21"/>
                <w:szCs w:val="21"/>
              </w:rPr>
            </w:pPr>
            <w:r>
              <w:rPr>
                <w:rFonts w:hint="eastAsia"/>
                <w:sz w:val="21"/>
                <w:szCs w:val="21"/>
              </w:rPr>
              <w:t xml:space="preserve">2.必须确保全员培训合格，“三项岗位人员”持证上岗。 </w:t>
            </w:r>
          </w:p>
          <w:p>
            <w:pPr>
              <w:spacing w:line="240" w:lineRule="auto"/>
              <w:ind w:firstLine="0" w:firstLineChars="0"/>
              <w:rPr>
                <w:sz w:val="21"/>
                <w:szCs w:val="21"/>
              </w:rPr>
            </w:pPr>
            <w:r>
              <w:rPr>
                <w:rFonts w:hint="eastAsia"/>
                <w:sz w:val="21"/>
                <w:szCs w:val="21"/>
              </w:rPr>
              <w:t xml:space="preserve">3.必须按设计放矿、筑坝，确保坝体稳定性、安全超高、干滩长度、浸润线埋深符合要求。 </w:t>
            </w:r>
          </w:p>
          <w:p>
            <w:pPr>
              <w:spacing w:line="240" w:lineRule="auto"/>
              <w:ind w:firstLine="0" w:firstLineChars="0"/>
              <w:rPr>
                <w:sz w:val="21"/>
                <w:szCs w:val="21"/>
              </w:rPr>
            </w:pPr>
            <w:r>
              <w:rPr>
                <w:rFonts w:hint="eastAsia"/>
                <w:sz w:val="21"/>
                <w:szCs w:val="21"/>
              </w:rPr>
              <w:t xml:space="preserve">4.必须确保排洪、排渗设施设计规范、建设达标、运行可靠。 </w:t>
            </w:r>
          </w:p>
          <w:p>
            <w:pPr>
              <w:spacing w:line="240" w:lineRule="auto"/>
              <w:ind w:firstLine="0" w:firstLineChars="0"/>
              <w:rPr>
                <w:sz w:val="21"/>
                <w:szCs w:val="21"/>
              </w:rPr>
            </w:pPr>
            <w:r>
              <w:rPr>
                <w:rFonts w:hint="eastAsia"/>
                <w:sz w:val="21"/>
                <w:szCs w:val="21"/>
              </w:rPr>
              <w:t xml:space="preserve">5.必须建立监测监控系统并有效运行，落实定期巡查和值班值守制度。 </w:t>
            </w:r>
          </w:p>
          <w:p>
            <w:pPr>
              <w:spacing w:line="240" w:lineRule="auto"/>
              <w:ind w:firstLine="0" w:firstLineChars="0"/>
              <w:rPr>
                <w:sz w:val="21"/>
                <w:szCs w:val="21"/>
              </w:rPr>
            </w:pPr>
            <w:r>
              <w:rPr>
                <w:rFonts w:hint="eastAsia"/>
                <w:sz w:val="21"/>
                <w:szCs w:val="21"/>
              </w:rPr>
              <w:t xml:space="preserve">6.必须限期消除病库安全隐患，严禁危库、险库生产运行。 </w:t>
            </w:r>
          </w:p>
          <w:p>
            <w:pPr>
              <w:spacing w:line="240" w:lineRule="auto"/>
              <w:ind w:firstLine="0" w:firstLineChars="0"/>
              <w:rPr>
                <w:sz w:val="21"/>
                <w:szCs w:val="21"/>
              </w:rPr>
            </w:pPr>
            <w:r>
              <w:rPr>
                <w:rFonts w:hint="eastAsia"/>
                <w:sz w:val="21"/>
                <w:szCs w:val="21"/>
              </w:rPr>
              <w:t xml:space="preserve">7.必须加强“头顶库”安全管理。 </w:t>
            </w:r>
          </w:p>
          <w:p>
            <w:pPr>
              <w:spacing w:line="240" w:lineRule="auto"/>
              <w:ind w:firstLine="0" w:firstLineChars="0"/>
              <w:rPr>
                <w:sz w:val="21"/>
                <w:szCs w:val="21"/>
              </w:rPr>
            </w:pPr>
            <w:r>
              <w:rPr>
                <w:rFonts w:hint="eastAsia"/>
                <w:sz w:val="21"/>
                <w:szCs w:val="21"/>
              </w:rPr>
              <w:t xml:space="preserve">8.必须按设计及时闭库。 </w:t>
            </w:r>
          </w:p>
          <w:p>
            <w:pPr>
              <w:spacing w:line="240" w:lineRule="auto"/>
              <w:ind w:firstLine="0" w:firstLineChars="0"/>
              <w:rPr>
                <w:sz w:val="21"/>
                <w:szCs w:val="21"/>
              </w:rPr>
            </w:pPr>
            <w:r>
              <w:rPr>
                <w:rFonts w:hint="eastAsia"/>
                <w:sz w:val="21"/>
                <w:szCs w:val="21"/>
              </w:rPr>
              <w:t xml:space="preserve">9.必须加强闭库和回采安全管理。 </w:t>
            </w:r>
          </w:p>
          <w:p>
            <w:pPr>
              <w:spacing w:line="240" w:lineRule="auto"/>
              <w:ind w:firstLine="0" w:firstLineChars="0"/>
              <w:rPr>
                <w:sz w:val="21"/>
                <w:szCs w:val="21"/>
              </w:rPr>
            </w:pPr>
            <w:r>
              <w:rPr>
                <w:rFonts w:hint="eastAsia"/>
                <w:sz w:val="21"/>
                <w:szCs w:val="21"/>
              </w:rPr>
              <w:t xml:space="preserve">10.必须建立应急联动机制，确保应急装备和物资及应急演练到位。 </w:t>
            </w:r>
          </w:p>
        </w:tc>
      </w:tr>
    </w:tbl>
    <w:p>
      <w:pPr>
        <w:spacing w:line="240" w:lineRule="auto"/>
        <w:ind w:firstLine="0" w:firstLineChars="0"/>
        <w:rPr>
          <w:sz w:val="2"/>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6" w:type="dxa"/>
            <w:shd w:val="clear" w:color="auto" w:fill="auto"/>
          </w:tcPr>
          <w:p>
            <w:pPr>
              <w:spacing w:line="240" w:lineRule="auto"/>
              <w:ind w:firstLine="0" w:firstLineChars="0"/>
              <w:jc w:val="center"/>
              <w:rPr>
                <w:b/>
                <w:sz w:val="21"/>
                <w:szCs w:val="21"/>
              </w:rPr>
            </w:pPr>
            <w:r>
              <w:rPr>
                <w:rFonts w:hint="eastAsia"/>
                <w:b/>
                <w:sz w:val="24"/>
                <w:szCs w:val="21"/>
              </w:rPr>
              <w:t>四、陆上石油天然气开采企业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36" w:type="dxa"/>
            <w:shd w:val="clear" w:color="auto" w:fill="auto"/>
          </w:tcPr>
          <w:p>
            <w:pPr>
              <w:spacing w:line="240" w:lineRule="auto"/>
              <w:ind w:firstLine="0" w:firstLineChars="0"/>
              <w:rPr>
                <w:sz w:val="21"/>
                <w:szCs w:val="21"/>
              </w:rPr>
            </w:pPr>
            <w:r>
              <w:rPr>
                <w:rFonts w:hint="eastAsia"/>
                <w:sz w:val="21"/>
                <w:szCs w:val="21"/>
              </w:rPr>
              <w:t xml:space="preserve">1.必须证照齐全有效，安全生产管理机构健全，安全生产责任制落实。 </w:t>
            </w:r>
          </w:p>
          <w:p>
            <w:pPr>
              <w:spacing w:line="240" w:lineRule="auto"/>
              <w:ind w:firstLine="0" w:firstLineChars="0"/>
              <w:rPr>
                <w:sz w:val="21"/>
                <w:szCs w:val="21"/>
              </w:rPr>
            </w:pPr>
            <w:r>
              <w:rPr>
                <w:rFonts w:hint="eastAsia"/>
                <w:sz w:val="21"/>
                <w:szCs w:val="21"/>
              </w:rPr>
              <w:t xml:space="preserve">2.必须确保全员培训合格，“三项岗位人员”持证上岗。 </w:t>
            </w:r>
          </w:p>
          <w:p>
            <w:pPr>
              <w:spacing w:line="240" w:lineRule="auto"/>
              <w:ind w:firstLine="0" w:firstLineChars="0"/>
              <w:rPr>
                <w:sz w:val="21"/>
                <w:szCs w:val="21"/>
              </w:rPr>
            </w:pPr>
            <w:r>
              <w:rPr>
                <w:rFonts w:hint="eastAsia"/>
                <w:sz w:val="21"/>
                <w:szCs w:val="21"/>
              </w:rPr>
              <w:t xml:space="preserve">3.必须严格执行钻井地质设计和工程设计。 </w:t>
            </w:r>
          </w:p>
          <w:p>
            <w:pPr>
              <w:spacing w:line="240" w:lineRule="auto"/>
              <w:ind w:firstLine="0" w:firstLineChars="0"/>
              <w:rPr>
                <w:sz w:val="21"/>
                <w:szCs w:val="21"/>
              </w:rPr>
            </w:pPr>
            <w:r>
              <w:rPr>
                <w:rFonts w:hint="eastAsia"/>
                <w:sz w:val="21"/>
                <w:szCs w:val="21"/>
              </w:rPr>
              <w:t xml:space="preserve">4.必须按设计配备井控装备，落实井控防范措施。 </w:t>
            </w:r>
          </w:p>
          <w:p>
            <w:pPr>
              <w:spacing w:line="240" w:lineRule="auto"/>
              <w:ind w:firstLine="0" w:firstLineChars="0"/>
              <w:rPr>
                <w:sz w:val="21"/>
                <w:szCs w:val="21"/>
              </w:rPr>
            </w:pPr>
            <w:r>
              <w:rPr>
                <w:rFonts w:hint="eastAsia"/>
                <w:sz w:val="21"/>
                <w:szCs w:val="21"/>
              </w:rPr>
              <w:t xml:space="preserve">5.必须确保在含硫地区配齐硫化氢检测设备和防护用品。 </w:t>
            </w:r>
          </w:p>
          <w:p>
            <w:pPr>
              <w:spacing w:line="240" w:lineRule="auto"/>
              <w:ind w:firstLine="0" w:firstLineChars="0"/>
              <w:rPr>
                <w:sz w:val="21"/>
                <w:szCs w:val="21"/>
              </w:rPr>
            </w:pPr>
            <w:r>
              <w:rPr>
                <w:rFonts w:hint="eastAsia"/>
                <w:sz w:val="21"/>
                <w:szCs w:val="21"/>
              </w:rPr>
              <w:t xml:space="preserve">6.必须严格执行动火、吊装、有限空间作业等内部许可制度。 </w:t>
            </w:r>
          </w:p>
          <w:p>
            <w:pPr>
              <w:spacing w:line="240" w:lineRule="auto"/>
              <w:ind w:firstLine="0" w:firstLineChars="0"/>
              <w:rPr>
                <w:sz w:val="21"/>
                <w:szCs w:val="21"/>
              </w:rPr>
            </w:pPr>
            <w:r>
              <w:rPr>
                <w:rFonts w:hint="eastAsia"/>
                <w:sz w:val="21"/>
                <w:szCs w:val="21"/>
              </w:rPr>
              <w:t xml:space="preserve">7.必须使用通过安全论证的新工艺、新技术、新材料和新设备。 </w:t>
            </w:r>
          </w:p>
          <w:p>
            <w:pPr>
              <w:spacing w:line="240" w:lineRule="auto"/>
              <w:ind w:firstLine="0" w:firstLineChars="0"/>
              <w:rPr>
                <w:sz w:val="21"/>
                <w:szCs w:val="21"/>
              </w:rPr>
            </w:pPr>
            <w:r>
              <w:rPr>
                <w:rFonts w:hint="eastAsia"/>
                <w:sz w:val="21"/>
                <w:szCs w:val="21"/>
              </w:rPr>
              <w:t xml:space="preserve">8.必须加强重大危险源监控管理。 </w:t>
            </w:r>
          </w:p>
          <w:p>
            <w:pPr>
              <w:spacing w:line="240" w:lineRule="auto"/>
              <w:ind w:firstLine="0" w:firstLineChars="0"/>
              <w:rPr>
                <w:sz w:val="21"/>
                <w:szCs w:val="21"/>
              </w:rPr>
            </w:pPr>
            <w:r>
              <w:rPr>
                <w:rFonts w:hint="eastAsia"/>
                <w:sz w:val="21"/>
                <w:szCs w:val="21"/>
              </w:rPr>
              <w:t xml:space="preserve">9.必须严格落实外包工程安全管理。 </w:t>
            </w:r>
          </w:p>
          <w:p>
            <w:pPr>
              <w:spacing w:line="240" w:lineRule="auto"/>
              <w:ind w:firstLine="0" w:firstLineChars="0"/>
              <w:rPr>
                <w:sz w:val="21"/>
                <w:szCs w:val="21"/>
              </w:rPr>
            </w:pPr>
            <w:r>
              <w:rPr>
                <w:rFonts w:hint="eastAsia"/>
                <w:sz w:val="21"/>
                <w:szCs w:val="21"/>
              </w:rPr>
              <w:t xml:space="preserve">10.必须建立专（兼）职应急救援队伍，确保应急装备和物资配备及应急演练到位。 </w:t>
            </w:r>
          </w:p>
        </w:tc>
      </w:tr>
    </w:tbl>
    <w:p>
      <w:pPr>
        <w:spacing w:line="240" w:lineRule="auto"/>
        <w:ind w:firstLine="0" w:firstLineChars="0"/>
        <w:rPr>
          <w:sz w:val="2"/>
          <w:szCs w:val="10"/>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36" w:type="dxa"/>
            <w:shd w:val="clear" w:color="auto" w:fill="auto"/>
          </w:tcPr>
          <w:p>
            <w:pPr>
              <w:spacing w:line="240" w:lineRule="auto"/>
              <w:ind w:firstLine="0" w:firstLineChars="0"/>
              <w:jc w:val="center"/>
              <w:rPr>
                <w:b/>
                <w:sz w:val="24"/>
              </w:rPr>
            </w:pPr>
            <w:r>
              <w:rPr>
                <w:rFonts w:hint="eastAsia"/>
                <w:b/>
                <w:sz w:val="24"/>
              </w:rPr>
              <w:t>五、海洋石油天然气开采企业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6" w:type="dxa"/>
            <w:shd w:val="clear" w:color="auto" w:fill="auto"/>
          </w:tcPr>
          <w:p>
            <w:pPr>
              <w:spacing w:line="240" w:lineRule="auto"/>
              <w:ind w:firstLine="0" w:firstLineChars="0"/>
              <w:rPr>
                <w:sz w:val="21"/>
                <w:szCs w:val="21"/>
              </w:rPr>
            </w:pPr>
            <w:r>
              <w:rPr>
                <w:rFonts w:hint="eastAsia"/>
                <w:sz w:val="21"/>
                <w:szCs w:val="21"/>
              </w:rPr>
              <w:t xml:space="preserve">1.必须证照齐全有效，安全生产管理机构健全，安全生产责任制落实。 </w:t>
            </w:r>
          </w:p>
          <w:p>
            <w:pPr>
              <w:spacing w:line="240" w:lineRule="auto"/>
              <w:ind w:firstLine="0" w:firstLineChars="0"/>
              <w:rPr>
                <w:sz w:val="21"/>
                <w:szCs w:val="21"/>
              </w:rPr>
            </w:pPr>
            <w:r>
              <w:rPr>
                <w:rFonts w:hint="eastAsia"/>
                <w:sz w:val="21"/>
                <w:szCs w:val="21"/>
              </w:rPr>
              <w:t xml:space="preserve">2.必须确保出海作业人员经培训合格再上岗。 </w:t>
            </w:r>
          </w:p>
          <w:p>
            <w:pPr>
              <w:spacing w:line="240" w:lineRule="auto"/>
              <w:ind w:firstLine="0" w:firstLineChars="0"/>
              <w:rPr>
                <w:sz w:val="21"/>
                <w:szCs w:val="21"/>
              </w:rPr>
            </w:pPr>
            <w:r>
              <w:rPr>
                <w:rFonts w:hint="eastAsia"/>
                <w:sz w:val="21"/>
                <w:szCs w:val="21"/>
              </w:rPr>
              <w:t xml:space="preserve">3.必须严格落实海洋石油设施设计、建造和运行第三方发证检验制度。 </w:t>
            </w:r>
          </w:p>
          <w:p>
            <w:pPr>
              <w:spacing w:line="240" w:lineRule="auto"/>
              <w:ind w:firstLine="0" w:firstLineChars="0"/>
              <w:rPr>
                <w:sz w:val="21"/>
                <w:szCs w:val="21"/>
              </w:rPr>
            </w:pPr>
            <w:r>
              <w:rPr>
                <w:rFonts w:hint="eastAsia"/>
                <w:sz w:val="21"/>
                <w:szCs w:val="21"/>
              </w:rPr>
              <w:t xml:space="preserve">4.必须安装防喷控制系统，自溢井必须安装井下安全阀。 </w:t>
            </w:r>
          </w:p>
          <w:p>
            <w:pPr>
              <w:spacing w:line="240" w:lineRule="auto"/>
              <w:ind w:firstLine="0" w:firstLineChars="0"/>
              <w:rPr>
                <w:sz w:val="21"/>
                <w:szCs w:val="21"/>
              </w:rPr>
            </w:pPr>
            <w:r>
              <w:rPr>
                <w:rFonts w:hint="eastAsia"/>
                <w:sz w:val="21"/>
                <w:szCs w:val="21"/>
              </w:rPr>
              <w:t xml:space="preserve">5.必须按规定辨识拖航、动火等作业风险。 </w:t>
            </w:r>
          </w:p>
          <w:p>
            <w:pPr>
              <w:spacing w:line="240" w:lineRule="auto"/>
              <w:ind w:firstLine="0" w:firstLineChars="0"/>
              <w:rPr>
                <w:sz w:val="21"/>
                <w:szCs w:val="21"/>
              </w:rPr>
            </w:pPr>
            <w:r>
              <w:rPr>
                <w:rFonts w:hint="eastAsia"/>
                <w:sz w:val="21"/>
                <w:szCs w:val="21"/>
              </w:rPr>
              <w:t xml:space="preserve">6.必须确保消防、救生、逃生设备齐全完好。 </w:t>
            </w:r>
          </w:p>
          <w:p>
            <w:pPr>
              <w:spacing w:line="240" w:lineRule="auto"/>
              <w:ind w:firstLine="0" w:firstLineChars="0"/>
              <w:rPr>
                <w:sz w:val="21"/>
                <w:szCs w:val="21"/>
              </w:rPr>
            </w:pPr>
            <w:r>
              <w:rPr>
                <w:rFonts w:hint="eastAsia"/>
                <w:sz w:val="21"/>
                <w:szCs w:val="21"/>
              </w:rPr>
              <w:t xml:space="preserve">7.必须使用通过安全论证的新工艺、新技术、新材料和新设备。 </w:t>
            </w:r>
          </w:p>
          <w:p>
            <w:pPr>
              <w:spacing w:line="240" w:lineRule="auto"/>
              <w:ind w:firstLine="0" w:firstLineChars="0"/>
              <w:rPr>
                <w:sz w:val="21"/>
                <w:szCs w:val="21"/>
              </w:rPr>
            </w:pPr>
            <w:r>
              <w:rPr>
                <w:rFonts w:hint="eastAsia"/>
                <w:sz w:val="21"/>
                <w:szCs w:val="21"/>
              </w:rPr>
              <w:t xml:space="preserve">8.必须加强重大危险源监控管理。 </w:t>
            </w:r>
          </w:p>
          <w:p>
            <w:pPr>
              <w:spacing w:line="240" w:lineRule="auto"/>
              <w:ind w:firstLine="0" w:firstLineChars="0"/>
              <w:rPr>
                <w:sz w:val="21"/>
                <w:szCs w:val="21"/>
              </w:rPr>
            </w:pPr>
            <w:r>
              <w:rPr>
                <w:rFonts w:hint="eastAsia"/>
                <w:sz w:val="21"/>
                <w:szCs w:val="21"/>
              </w:rPr>
              <w:t xml:space="preserve">9.必须严格落实外包工程安全管理。 </w:t>
            </w:r>
          </w:p>
          <w:p>
            <w:pPr>
              <w:spacing w:line="240" w:lineRule="auto"/>
              <w:ind w:firstLine="0" w:firstLineChars="0"/>
              <w:rPr>
                <w:sz w:val="21"/>
                <w:szCs w:val="21"/>
              </w:rPr>
            </w:pPr>
            <w:r>
              <w:rPr>
                <w:rFonts w:hint="eastAsia"/>
                <w:sz w:val="21"/>
                <w:szCs w:val="21"/>
              </w:rPr>
              <w:t>10.必须确保应急演练到位。</w:t>
            </w:r>
          </w:p>
        </w:tc>
      </w:tr>
    </w:tbl>
    <w:p>
      <w:pPr>
        <w:pStyle w:val="3"/>
      </w:pPr>
      <w:bookmarkStart w:id="59" w:name="_Toc88998157"/>
      <w:bookmarkStart w:id="60" w:name="_Toc56464895"/>
      <w:r>
        <w:rPr>
          <w:rFonts w:hint="eastAsia"/>
        </w:rPr>
        <w:t>9.</w:t>
      </w:r>
      <w:r>
        <w:t xml:space="preserve">4 </w:t>
      </w:r>
      <w:r>
        <w:rPr>
          <w:rFonts w:hint="eastAsia"/>
        </w:rPr>
        <w:t>非煤矿山现场处置要点</w:t>
      </w:r>
      <w:bookmarkEnd w:id="59"/>
      <w:bookmarkEnd w:id="60"/>
    </w:p>
    <w:p>
      <w:pPr>
        <w:pStyle w:val="4"/>
      </w:pPr>
      <w:bookmarkStart w:id="61" w:name="_Toc88998158"/>
      <w:r>
        <w:rPr>
          <w:rFonts w:hint="eastAsia"/>
        </w:rPr>
        <w:t>9.</w:t>
      </w:r>
      <w:r>
        <w:t>4</w:t>
      </w:r>
      <w:r>
        <w:rPr>
          <w:rFonts w:hint="eastAsia"/>
        </w:rPr>
        <w:t>.</w:t>
      </w:r>
      <w:r>
        <w:t>1 中毒窒息事故处置要点</w:t>
      </w:r>
      <w:bookmarkEnd w:id="61"/>
    </w:p>
    <w:p>
      <w:r>
        <w:rPr>
          <w:rFonts w:hint="eastAsia"/>
        </w:rPr>
        <w:t>（</w:t>
      </w:r>
      <w:r>
        <w:t>1）抢救人员进入危险区域以前必须佩戴防毒面具、自救器等防护用品，并检查其气密性。以免抢救人员也发生中毒窒息事故，造成更大的人员伤亡。迅速把中毒窒息人员转移到具有新鲜风流的地方，静卧保暖。</w:t>
      </w:r>
    </w:p>
    <w:p>
      <w:r>
        <w:rPr>
          <w:rFonts w:hint="eastAsia"/>
        </w:rPr>
        <w:t>（</w:t>
      </w:r>
      <w:r>
        <w:t>2）将中毒者移至通风空气新鲜处，应判断呼吸、心跳状况。中毒者呼吸未停或呼吸虽停但心脏还在跳动，应立即松解衣扣和腰带，清除中毒者口腔、鼻腔内的杂物使呼吸道保持畅通，并立即进行人工呼吸。若心脏跳动停止，应迅速进行胸外心脏挤压按摩，同时进行人工呼吸进行抢救，决不轻易放弃，要就地抢救，并尽快送往医院抢救。</w:t>
      </w:r>
    </w:p>
    <w:p>
      <w:r>
        <w:rPr>
          <w:rFonts w:hint="eastAsia"/>
        </w:rPr>
        <w:t>（</w:t>
      </w:r>
      <w:r>
        <w:t>3）对中毒较轻、粘膜损伤能够合作者，要动员患者及时用清水或生理盐水冲洗，每一次口服500ml左右之后刺激咽部进行呕吐，如此反复进行。</w:t>
      </w:r>
    </w:p>
    <w:p>
      <w:r>
        <w:rPr>
          <w:rFonts w:hint="eastAsia"/>
        </w:rPr>
        <w:t>（</w:t>
      </w:r>
      <w:r>
        <w:t>4）在抢救中，急救人员一定要沉着、动作要迅速。在进行抢救的同时应立即通知医院救护人员到现场进行诊治。在送往医院途中，使中毒者平躺，保持呼吸畅通，并继续实施人工急救。</w:t>
      </w:r>
    </w:p>
    <w:p>
      <w:pPr>
        <w:pStyle w:val="4"/>
      </w:pPr>
      <w:bookmarkStart w:id="62" w:name="_Toc88998159"/>
      <w:r>
        <w:rPr>
          <w:rFonts w:hint="eastAsia"/>
        </w:rPr>
        <w:t>9.</w:t>
      </w:r>
      <w:r>
        <w:t>4</w:t>
      </w:r>
      <w:r>
        <w:rPr>
          <w:rFonts w:hint="eastAsia"/>
        </w:rPr>
        <w:t>.2</w:t>
      </w:r>
      <w:r>
        <w:t xml:space="preserve"> 坍塌事故处置要点</w:t>
      </w:r>
      <w:bookmarkEnd w:id="62"/>
    </w:p>
    <w:p>
      <w:r>
        <w:rPr>
          <w:rFonts w:hint="eastAsia"/>
        </w:rPr>
        <w:t>（</w:t>
      </w:r>
      <w:r>
        <w:t>1）发生坍塌事故后，在事故发生周围划定危险区域，疏散人员，当立即撤离至安全地点，避免不必要伤亡。</w:t>
      </w:r>
    </w:p>
    <w:p>
      <w:r>
        <w:rPr>
          <w:rFonts w:hint="eastAsia"/>
        </w:rPr>
        <w:t>（</w:t>
      </w:r>
      <w:r>
        <w:t>2）尽快确认被埋人员的数量和具体位置，如有人员失踪要马上清点人数，向知情人员了解失踪人员被埋的位置。尽可能有第一时间组织抢救被埋人员，以免时间延误造成被埋人员窒息。</w:t>
      </w:r>
    </w:p>
    <w:p>
      <w:r>
        <w:rPr>
          <w:rFonts w:hint="eastAsia"/>
        </w:rPr>
        <w:t>（</w:t>
      </w:r>
      <w:r>
        <w:t>3）一定要确保不会二次坍塌或即使坍塌时也不会影响救援人员安全时，才能开展救援行动，避免二次坍塌造成救援人员伤亡。</w:t>
      </w:r>
    </w:p>
    <w:p>
      <w:r>
        <w:rPr>
          <w:rFonts w:hint="eastAsia"/>
        </w:rPr>
        <w:t>（</w:t>
      </w:r>
      <w:r>
        <w:t>4）抢救被埋人员。应根据事故具体情况，采取机械和人工相结合的办法，对坍塌现场进行处理，在接近被埋人员时必须停止机械作业，改用人工挖掘，防止误伤被埋人员。</w:t>
      </w:r>
    </w:p>
    <w:p>
      <w:r>
        <w:rPr>
          <w:rFonts w:hint="eastAsia"/>
        </w:rPr>
        <w:t>（</w:t>
      </w:r>
      <w:r>
        <w:t>5）被抢救出来的伤员，要由现场医疗救护人员进行抢救对伤势严重的人员要立即送往医院救治。</w:t>
      </w:r>
    </w:p>
    <w:p>
      <w:pPr>
        <w:pStyle w:val="4"/>
      </w:pPr>
      <w:bookmarkStart w:id="63" w:name="_Toc88998160"/>
      <w:r>
        <w:rPr>
          <w:rFonts w:hint="eastAsia"/>
        </w:rPr>
        <w:t>9.</w:t>
      </w:r>
      <w:r>
        <w:t>4</w:t>
      </w:r>
      <w:r>
        <w:rPr>
          <w:rFonts w:hint="eastAsia"/>
        </w:rPr>
        <w:t>.</w:t>
      </w:r>
      <w:r>
        <w:t>3 冒顶片帮事故处置要点</w:t>
      </w:r>
      <w:bookmarkEnd w:id="63"/>
    </w:p>
    <w:p>
      <w:r>
        <w:rPr>
          <w:rFonts w:hint="eastAsia"/>
        </w:rPr>
        <w:t>（</w:t>
      </w:r>
      <w:r>
        <w:t>1）首先加固冒顶区两端的支架，防止冒顶范围的扩大。并有专人观察顶板变化，发现顶板出现有再次冒顶预兆时，首先应加强支护，有准备地做好安全退路。</w:t>
      </w:r>
    </w:p>
    <w:p>
      <w:r>
        <w:rPr>
          <w:rFonts w:hint="eastAsia"/>
        </w:rPr>
        <w:t>（</w:t>
      </w:r>
      <w:r>
        <w:t>2）根据实际情况，查明冒顶范围和遇险人员的位置和人数等，与他们保持联系，并鼓励他们配合抢救。在抢救遇险人员时，抢救人员首先应以呼喊、敲打、使用地音探听器等办法与其联络，来判定遇险人员的位置和人数。</w:t>
      </w:r>
    </w:p>
    <w:p>
      <w:r>
        <w:rPr>
          <w:rFonts w:hint="eastAsia"/>
        </w:rPr>
        <w:t>（</w:t>
      </w:r>
      <w:r>
        <w:t>3）如果遇难人员所在地点通风不好，必须设法加强通风。若因冒顶遇难人员被堵在里面，应利用压风管、水管及开掘巷道、打钻孔等方法，向遇险人员输送新鲜空气、饮料及食物。</w:t>
      </w:r>
    </w:p>
    <w:p>
      <w:r>
        <w:rPr>
          <w:rFonts w:hint="eastAsia"/>
        </w:rPr>
        <w:t>（</w:t>
      </w:r>
      <w:r>
        <w:t>4）在处理冒顶时，应根据岩层冒落高度、冒落块的大小、冒落位置和范围以及围岩地压等情况，采取不同的抢救方法。</w:t>
      </w:r>
    </w:p>
    <w:p>
      <w:r>
        <w:rPr>
          <w:rFonts w:hint="eastAsia"/>
        </w:rPr>
        <w:t>（</w:t>
      </w:r>
      <w:r>
        <w:t>5）抢救过程中，必须时刻注意遇险人员的安全。冒落范围不大时，如遇险人员被大块岩石压住，不许使用爆破。则可采用千斤顶等工具将大块岩石顶起，将人迅速救出。冒落范围较大，将人堵在巷道中，也可另开巷道绕过冒落区将人救出。清理冒落矸石时，要小心使用工具，接近被埋压人员时，只能用手扒、捡煤矸，以免伤害遇险人员。</w:t>
      </w:r>
    </w:p>
    <w:p>
      <w:r>
        <w:rPr>
          <w:rFonts w:hint="eastAsia"/>
        </w:rPr>
        <w:t>（</w:t>
      </w:r>
      <w:r>
        <w:t>6）对抢救出的遇险者，应立即抬到安全地点，根据伤情妥善救护。</w:t>
      </w:r>
    </w:p>
    <w:p>
      <w:pPr>
        <w:pStyle w:val="4"/>
      </w:pPr>
      <w:bookmarkStart w:id="64" w:name="_Toc88998161"/>
      <w:r>
        <w:rPr>
          <w:rFonts w:hint="eastAsia"/>
        </w:rPr>
        <w:t>9.</w:t>
      </w:r>
      <w:r>
        <w:t>4</w:t>
      </w:r>
      <w:r>
        <w:rPr>
          <w:rFonts w:hint="eastAsia"/>
        </w:rPr>
        <w:t>.4</w:t>
      </w:r>
      <w:r>
        <w:t xml:space="preserve"> 透水事故处置要点</w:t>
      </w:r>
      <w:bookmarkEnd w:id="64"/>
    </w:p>
    <w:p>
      <w:r>
        <w:rPr>
          <w:rFonts w:hint="eastAsia"/>
        </w:rPr>
        <w:t>（</w:t>
      </w:r>
      <w:r>
        <w:t>1）必须尽快查明突水的地点、性质，估计突出水量、静止水位、突水后涌水量、影响范围、补给水源及有影响的地面水体。</w:t>
      </w:r>
    </w:p>
    <w:p>
      <w:r>
        <w:rPr>
          <w:rFonts w:hint="eastAsia"/>
        </w:rPr>
        <w:t>（</w:t>
      </w:r>
      <w:r>
        <w:t>2）根据事故前位置与撤退时可能遭遇的情况，判定遇险人员所处位置，分析该处及其他尚有生存条件的地点，确定该地点的空间容积，氧气、瓦斯、二氧化碳浓度，计算出他们可以生存的时间。</w:t>
      </w:r>
    </w:p>
    <w:p>
      <w:r>
        <w:rPr>
          <w:rFonts w:hint="eastAsia"/>
        </w:rPr>
        <w:t>（</w:t>
      </w:r>
      <w:r>
        <w:t>3）按积水量、涌水量组织排水，同时堵塞地面补给水源，控制水势，防止井巷被淹的范围扩大。</w:t>
      </w:r>
    </w:p>
    <w:p>
      <w:r>
        <w:rPr>
          <w:rFonts w:hint="eastAsia"/>
        </w:rPr>
        <w:t>（</w:t>
      </w:r>
      <w:r>
        <w:t>4）加强排水和抢救中的通风，监测硫化氢等有害气体浓度，切断灾区电源，防止突然涌出其他有毒气体。</w:t>
      </w:r>
    </w:p>
    <w:p>
      <w:r>
        <w:rPr>
          <w:rFonts w:hint="eastAsia"/>
        </w:rPr>
        <w:t>（</w:t>
      </w:r>
      <w:r>
        <w:t>5）排水后侦察、抢险中，要防止冒顶、掉底和二次突水。</w:t>
      </w:r>
    </w:p>
    <w:p>
      <w:r>
        <w:rPr>
          <w:rFonts w:hint="eastAsia"/>
        </w:rPr>
        <w:t>（</w:t>
      </w:r>
      <w:r>
        <w:t>6）救护者在处理水灾事故时，逆水流方向进入巷道侦察。</w:t>
      </w:r>
    </w:p>
    <w:p>
      <w:r>
        <w:rPr>
          <w:rFonts w:hint="eastAsia"/>
        </w:rPr>
        <w:t>（</w:t>
      </w:r>
      <w:r>
        <w:t>7）托运和抢救遇难者，要防止突然改变伤员已适应的环境和生存条件，造成不应有的伤亡。</w:t>
      </w:r>
    </w:p>
    <w:p>
      <w:pPr>
        <w:pStyle w:val="4"/>
      </w:pPr>
      <w:bookmarkStart w:id="65" w:name="_Toc88998162"/>
      <w:r>
        <w:rPr>
          <w:rFonts w:hint="eastAsia"/>
        </w:rPr>
        <w:t>9.</w:t>
      </w:r>
      <w:r>
        <w:t>4</w:t>
      </w:r>
      <w:r>
        <w:rPr>
          <w:rFonts w:hint="eastAsia"/>
        </w:rPr>
        <w:t>.</w:t>
      </w:r>
      <w:r>
        <w:t>5 尾矿库垮坝事故处置要点</w:t>
      </w:r>
      <w:bookmarkEnd w:id="65"/>
    </w:p>
    <w:p>
      <w:r>
        <w:rPr>
          <w:rFonts w:hint="eastAsia"/>
        </w:rPr>
        <w:t>（</w:t>
      </w:r>
      <w:r>
        <w:t>1）确定事故发生的影响范围；</w:t>
      </w:r>
    </w:p>
    <w:p>
      <w:r>
        <w:rPr>
          <w:rFonts w:hint="eastAsia"/>
        </w:rPr>
        <w:t>（</w:t>
      </w:r>
      <w:r>
        <w:t xml:space="preserve">2）迅速组织撤出尾矿库漫堤、溃坝影响范围内的居民和其他人员； </w:t>
      </w:r>
    </w:p>
    <w:p>
      <w:r>
        <w:rPr>
          <w:rFonts w:hint="eastAsia"/>
        </w:rPr>
        <w:t>（</w:t>
      </w:r>
      <w:r>
        <w:t>3）设置安全警戒线，危险区域设置警示标识，同时设法保护周边重要生产、生活设施，防止次生的安全事故和环境；</w:t>
      </w:r>
    </w:p>
    <w:p>
      <w:r>
        <w:rPr>
          <w:rFonts w:hint="eastAsia"/>
        </w:rPr>
        <w:t>（</w:t>
      </w:r>
      <w:r>
        <w:t>4）掌握事故尾矿库的水文地质条件、排洪系统、筑坝材料特征、气候条件等；</w:t>
      </w:r>
    </w:p>
    <w:p>
      <w:r>
        <w:rPr>
          <w:rFonts w:hint="eastAsia"/>
        </w:rPr>
        <w:t>（</w:t>
      </w:r>
      <w:r>
        <w:t>5）根据尾矿库所在区域，组织救援专家进行技术分析，确定抢险救援方案；</w:t>
      </w:r>
    </w:p>
    <w:p>
      <w:r>
        <w:rPr>
          <w:rFonts w:hint="eastAsia"/>
        </w:rPr>
        <w:t>（</w:t>
      </w:r>
      <w:r>
        <w:t>6）明确可能需要调动的应急救援力量及物资保障；</w:t>
      </w:r>
    </w:p>
    <w:p>
      <w:r>
        <w:rPr>
          <w:rFonts w:hint="eastAsia"/>
        </w:rPr>
        <w:t>（</w:t>
      </w:r>
      <w:r>
        <w:t>7）保护国家重要设施和目标，防止对江河、重点饮水水源、交通干线等造成影响，监测事故下游水质情况，防止发生次生、衍生事故；</w:t>
      </w:r>
    </w:p>
    <w:p>
      <w:r>
        <w:rPr>
          <w:rFonts w:hint="eastAsia"/>
        </w:rPr>
        <w:t>（</w:t>
      </w:r>
      <w:r>
        <w:t>8）在抢险过程中，必须有专人检查、监控尾矿库水位变化状况，加强坝顶的监控，防止发生事故的扩大。</w:t>
      </w:r>
    </w:p>
    <w:p>
      <w:pPr>
        <w:pStyle w:val="4"/>
      </w:pPr>
      <w:bookmarkStart w:id="66" w:name="_Toc88998163"/>
      <w:r>
        <w:rPr>
          <w:rFonts w:hint="eastAsia"/>
        </w:rPr>
        <w:t>9.</w:t>
      </w:r>
      <w:r>
        <w:t>4</w:t>
      </w:r>
      <w:r>
        <w:rPr>
          <w:rFonts w:hint="eastAsia"/>
        </w:rPr>
        <w:t>.</w:t>
      </w:r>
      <w:r>
        <w:t>6 坠罐跑车事故处置要点</w:t>
      </w:r>
      <w:bookmarkEnd w:id="66"/>
    </w:p>
    <w:p>
      <w:r>
        <w:rPr>
          <w:rFonts w:hint="eastAsia"/>
        </w:rPr>
        <w:t>（</w:t>
      </w:r>
      <w:r>
        <w:t>1）迅速组织井下其他人员（排水工作人员除外）从第二安全出口撤出，回到地面安全区域；</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 xml:space="preserve">2）查明提升系统的坠罐、跑车事故对提升系统、井巷工程、供电线路、压风管道、排水管道的破坏情况；必要时井下断电、关停压风、暂停排水等；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3）减少事故井巷的进风量，降低风速，为抢险地、救灾创造安全环境；</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4）危险区域设置警示标识；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5）明确事故应急救援处置技术方案，邀请相关专业的应急救援专家参与；</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6）确定受困人员救援方案；</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7）明确可能需要调动的应急救援力量及物资保障；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w:t>
      </w:r>
      <w:r>
        <w:t>8）在抢救、处理过程中，必须有专人检查、监视周边情况，防止二次事故发生。</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在矿山事故救援过程中，出现继续进行抢险救灾对救援人员的生命有直接威胁，极易造成事故扩大化，或没有办法实施救援，或没有继续实施救援的价值等情况时，经过矿山应急救援专家组充分论证，提出终止救援的意见，报现场指挥部决定。</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在抢险救灾过程中，所有应急救援工作人员必须佩戴安全防护装备，才能进入事故救援区域实施应急救援工作。地下矿山应急救援工作地点都要安排专人检测气体成分等，保证工作地点的安全。</w:t>
      </w:r>
    </w:p>
    <w:p>
      <w:pPr>
        <w:spacing w:line="660" w:lineRule="exact"/>
        <w:ind w:firstLine="0" w:firstLineChars="0"/>
        <w:jc w:val="left"/>
        <w:rPr>
          <w:rFonts w:hint="eastAsia" w:eastAsia="仿宋"/>
          <w:lang w:val="en-US" w:eastAsia="zh-CN"/>
        </w:rPr>
      </w:pPr>
      <w:r>
        <w:rPr>
          <w:rFonts w:hint="eastAsia"/>
          <w:lang w:val="en-US" w:eastAsia="zh-CN"/>
        </w:rPr>
        <w:t xml:space="preserve">    </w:t>
      </w:r>
      <w:r>
        <w:rPr>
          <w:rFonts w:hint="eastAsia"/>
        </w:rPr>
        <w:t>当地和支援的环境监测检测机构负责对水源、空气、土壤等样品就地实行分析处理，及时检测出毒物的种类和浓度，并计算出扩散范围等应急救援所需的各种数据，以确定污染区域范围，并对事故造成的环境影响进行评估。</w:t>
      </w:r>
    </w:p>
    <w:sectPr>
      <w:headerReference r:id="rId12" w:type="default"/>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64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0"/>
      <w:ind w:left="6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640" w:firstLine="480"/>
      <w:jc w:val="center"/>
      <w:rPr>
        <w:sz w:val="24"/>
        <w:szCs w:val="24"/>
      </w:rPr>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0"/>
                  <w:ind w:left="640" w:firstLine="48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32 -</w:t>
                </w:r>
                <w:r>
                  <w:rPr>
                    <w:sz w:val="24"/>
                    <w:szCs w:val="24"/>
                  </w:rPr>
                  <w:fldChar w:fldCharType="end"/>
                </w:r>
              </w:p>
            </w:txbxContent>
          </v:textbox>
        </v:shape>
      </w:pict>
    </w:r>
  </w:p>
  <w:p>
    <w:pPr>
      <w:pStyle w:val="20"/>
      <w:ind w:left="64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ind w:firstLine="360"/>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40</w:t>
                </w:r>
                <w:r>
                  <w:rPr>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eastAsia="宋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80"/>
      <w:jc w:val="right"/>
      <w:rPr>
        <w:rFonts w:ascii="宋体" w:hAnsi="宋体"/>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7715A"/>
    <w:multiLevelType w:val="multilevel"/>
    <w:tmpl w:val="23A7715A"/>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ED1763"/>
    <w:multiLevelType w:val="multilevel"/>
    <w:tmpl w:val="29ED1763"/>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F2558C"/>
    <w:multiLevelType w:val="multilevel"/>
    <w:tmpl w:val="47F2558C"/>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9259B9"/>
    <w:multiLevelType w:val="multilevel"/>
    <w:tmpl w:val="4B9259B9"/>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B65A62"/>
    <w:multiLevelType w:val="multilevel"/>
    <w:tmpl w:val="52B65A62"/>
    <w:lvl w:ilvl="0" w:tentative="0">
      <w:start w:val="1"/>
      <w:numFmt w:val="decimal"/>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35C0A1C"/>
    <w:multiLevelType w:val="multilevel"/>
    <w:tmpl w:val="635C0A1C"/>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4A4757"/>
    <w:multiLevelType w:val="multilevel"/>
    <w:tmpl w:val="674A4757"/>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D5308B"/>
    <w:multiLevelType w:val="multilevel"/>
    <w:tmpl w:val="6ED5308B"/>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6"/>
  </w:num>
  <w:num w:numId="4">
    <w:abstractNumId w:val="2"/>
  </w:num>
  <w:num w:numId="5">
    <w:abstractNumId w:val="7"/>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revisionView w:markup="0"/>
  <w:trackRevisions w:val="1"/>
  <w:documentProtection w:enforcement="0"/>
  <w:defaultTabStop w:val="0"/>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DE7"/>
    <w:rsid w:val="00001196"/>
    <w:rsid w:val="000033DA"/>
    <w:rsid w:val="00004A62"/>
    <w:rsid w:val="0000559C"/>
    <w:rsid w:val="0001068E"/>
    <w:rsid w:val="00012C71"/>
    <w:rsid w:val="000152B2"/>
    <w:rsid w:val="00016F6A"/>
    <w:rsid w:val="000201A9"/>
    <w:rsid w:val="0002148D"/>
    <w:rsid w:val="000218A5"/>
    <w:rsid w:val="00025940"/>
    <w:rsid w:val="00026698"/>
    <w:rsid w:val="00030121"/>
    <w:rsid w:val="000304EE"/>
    <w:rsid w:val="00037F0E"/>
    <w:rsid w:val="00040D5A"/>
    <w:rsid w:val="000437D9"/>
    <w:rsid w:val="00045CD1"/>
    <w:rsid w:val="000468AC"/>
    <w:rsid w:val="00047DFB"/>
    <w:rsid w:val="00051551"/>
    <w:rsid w:val="00060242"/>
    <w:rsid w:val="000608C2"/>
    <w:rsid w:val="0006380F"/>
    <w:rsid w:val="000638F6"/>
    <w:rsid w:val="00064835"/>
    <w:rsid w:val="00066EF9"/>
    <w:rsid w:val="00067AA9"/>
    <w:rsid w:val="000704CA"/>
    <w:rsid w:val="000709DA"/>
    <w:rsid w:val="00082A8E"/>
    <w:rsid w:val="000831F9"/>
    <w:rsid w:val="0008789C"/>
    <w:rsid w:val="00095B9A"/>
    <w:rsid w:val="00096EDD"/>
    <w:rsid w:val="000978A9"/>
    <w:rsid w:val="000978F0"/>
    <w:rsid w:val="000A19F1"/>
    <w:rsid w:val="000A616D"/>
    <w:rsid w:val="000B077D"/>
    <w:rsid w:val="000C001B"/>
    <w:rsid w:val="000C1EFD"/>
    <w:rsid w:val="000C62A4"/>
    <w:rsid w:val="000D22CB"/>
    <w:rsid w:val="000D6B91"/>
    <w:rsid w:val="000D76E2"/>
    <w:rsid w:val="000E12FA"/>
    <w:rsid w:val="000E1984"/>
    <w:rsid w:val="000E5DE3"/>
    <w:rsid w:val="000F0323"/>
    <w:rsid w:val="000F5378"/>
    <w:rsid w:val="000F6AEC"/>
    <w:rsid w:val="000F7F8F"/>
    <w:rsid w:val="001021BB"/>
    <w:rsid w:val="00105572"/>
    <w:rsid w:val="00105629"/>
    <w:rsid w:val="00106837"/>
    <w:rsid w:val="001124B0"/>
    <w:rsid w:val="00116CE5"/>
    <w:rsid w:val="00116D1F"/>
    <w:rsid w:val="0011788A"/>
    <w:rsid w:val="001213DF"/>
    <w:rsid w:val="00125223"/>
    <w:rsid w:val="001259EA"/>
    <w:rsid w:val="00126DE7"/>
    <w:rsid w:val="00135FB5"/>
    <w:rsid w:val="001419E9"/>
    <w:rsid w:val="0014416D"/>
    <w:rsid w:val="00145104"/>
    <w:rsid w:val="00147309"/>
    <w:rsid w:val="0015008E"/>
    <w:rsid w:val="0015221B"/>
    <w:rsid w:val="00154626"/>
    <w:rsid w:val="0015606E"/>
    <w:rsid w:val="00160F2A"/>
    <w:rsid w:val="001632D5"/>
    <w:rsid w:val="00167545"/>
    <w:rsid w:val="0017087B"/>
    <w:rsid w:val="00170FEE"/>
    <w:rsid w:val="0017425A"/>
    <w:rsid w:val="001809E2"/>
    <w:rsid w:val="00184737"/>
    <w:rsid w:val="00185C08"/>
    <w:rsid w:val="00191BD0"/>
    <w:rsid w:val="00192240"/>
    <w:rsid w:val="00193FD8"/>
    <w:rsid w:val="00195F60"/>
    <w:rsid w:val="00196CE7"/>
    <w:rsid w:val="001A19A9"/>
    <w:rsid w:val="001A1E86"/>
    <w:rsid w:val="001A1ECF"/>
    <w:rsid w:val="001A388C"/>
    <w:rsid w:val="001A448C"/>
    <w:rsid w:val="001B2ABD"/>
    <w:rsid w:val="001B38A7"/>
    <w:rsid w:val="001B412E"/>
    <w:rsid w:val="001B4834"/>
    <w:rsid w:val="001C16C7"/>
    <w:rsid w:val="001C20EF"/>
    <w:rsid w:val="001C2538"/>
    <w:rsid w:val="001C5890"/>
    <w:rsid w:val="001C5CC5"/>
    <w:rsid w:val="001D0A70"/>
    <w:rsid w:val="001D1BD4"/>
    <w:rsid w:val="001D3393"/>
    <w:rsid w:val="001D3FA4"/>
    <w:rsid w:val="001D5484"/>
    <w:rsid w:val="001E6304"/>
    <w:rsid w:val="001E6781"/>
    <w:rsid w:val="001F2B84"/>
    <w:rsid w:val="00203943"/>
    <w:rsid w:val="0020555F"/>
    <w:rsid w:val="00205D42"/>
    <w:rsid w:val="00211BE7"/>
    <w:rsid w:val="00222519"/>
    <w:rsid w:val="00222B59"/>
    <w:rsid w:val="00224770"/>
    <w:rsid w:val="00226EB6"/>
    <w:rsid w:val="00227570"/>
    <w:rsid w:val="002276FC"/>
    <w:rsid w:val="00233389"/>
    <w:rsid w:val="002337A8"/>
    <w:rsid w:val="00233D25"/>
    <w:rsid w:val="0024192A"/>
    <w:rsid w:val="0024512B"/>
    <w:rsid w:val="002475D3"/>
    <w:rsid w:val="00251087"/>
    <w:rsid w:val="00251CB4"/>
    <w:rsid w:val="00253291"/>
    <w:rsid w:val="002545B2"/>
    <w:rsid w:val="00256B7F"/>
    <w:rsid w:val="00257DBB"/>
    <w:rsid w:val="00264680"/>
    <w:rsid w:val="002674C2"/>
    <w:rsid w:val="00272EA7"/>
    <w:rsid w:val="00274484"/>
    <w:rsid w:val="00276F5E"/>
    <w:rsid w:val="00283513"/>
    <w:rsid w:val="0028423D"/>
    <w:rsid w:val="002850DE"/>
    <w:rsid w:val="002906F0"/>
    <w:rsid w:val="00291428"/>
    <w:rsid w:val="00293F23"/>
    <w:rsid w:val="00294C8E"/>
    <w:rsid w:val="002A22AE"/>
    <w:rsid w:val="002A49F2"/>
    <w:rsid w:val="002A782B"/>
    <w:rsid w:val="002B5F3C"/>
    <w:rsid w:val="002E455F"/>
    <w:rsid w:val="002E6EDB"/>
    <w:rsid w:val="002F1C14"/>
    <w:rsid w:val="002F3514"/>
    <w:rsid w:val="002F441C"/>
    <w:rsid w:val="002F7FA6"/>
    <w:rsid w:val="0030057E"/>
    <w:rsid w:val="003009D4"/>
    <w:rsid w:val="00303989"/>
    <w:rsid w:val="0030481D"/>
    <w:rsid w:val="00304885"/>
    <w:rsid w:val="003057FD"/>
    <w:rsid w:val="00307B06"/>
    <w:rsid w:val="00307E70"/>
    <w:rsid w:val="00310ADA"/>
    <w:rsid w:val="0031186B"/>
    <w:rsid w:val="00314B19"/>
    <w:rsid w:val="0031535D"/>
    <w:rsid w:val="00315B76"/>
    <w:rsid w:val="00316BF9"/>
    <w:rsid w:val="00320F2E"/>
    <w:rsid w:val="00321827"/>
    <w:rsid w:val="00321ED3"/>
    <w:rsid w:val="00323D59"/>
    <w:rsid w:val="003265A9"/>
    <w:rsid w:val="00330DE3"/>
    <w:rsid w:val="00331673"/>
    <w:rsid w:val="0033502F"/>
    <w:rsid w:val="00336A35"/>
    <w:rsid w:val="00336E3A"/>
    <w:rsid w:val="00337708"/>
    <w:rsid w:val="00342DCF"/>
    <w:rsid w:val="00345FBC"/>
    <w:rsid w:val="00347335"/>
    <w:rsid w:val="00351F10"/>
    <w:rsid w:val="00352753"/>
    <w:rsid w:val="0035500C"/>
    <w:rsid w:val="0035683F"/>
    <w:rsid w:val="003643F6"/>
    <w:rsid w:val="003669A7"/>
    <w:rsid w:val="00373B24"/>
    <w:rsid w:val="00377F1B"/>
    <w:rsid w:val="00380617"/>
    <w:rsid w:val="00391ECE"/>
    <w:rsid w:val="00397343"/>
    <w:rsid w:val="003A37F0"/>
    <w:rsid w:val="003A4D80"/>
    <w:rsid w:val="003A70D9"/>
    <w:rsid w:val="003A71AC"/>
    <w:rsid w:val="003A7946"/>
    <w:rsid w:val="003B0B43"/>
    <w:rsid w:val="003B3C85"/>
    <w:rsid w:val="003B7569"/>
    <w:rsid w:val="003C1043"/>
    <w:rsid w:val="003C1ED3"/>
    <w:rsid w:val="003C5E9E"/>
    <w:rsid w:val="003D1C38"/>
    <w:rsid w:val="003D346B"/>
    <w:rsid w:val="003D44AD"/>
    <w:rsid w:val="003D7A6B"/>
    <w:rsid w:val="003D7B36"/>
    <w:rsid w:val="003E09DE"/>
    <w:rsid w:val="003E0C82"/>
    <w:rsid w:val="003E34B0"/>
    <w:rsid w:val="003E386E"/>
    <w:rsid w:val="003E6999"/>
    <w:rsid w:val="003F34E7"/>
    <w:rsid w:val="003F3572"/>
    <w:rsid w:val="00401354"/>
    <w:rsid w:val="00401856"/>
    <w:rsid w:val="004060BA"/>
    <w:rsid w:val="00410A5F"/>
    <w:rsid w:val="0041229A"/>
    <w:rsid w:val="00416DC0"/>
    <w:rsid w:val="00420433"/>
    <w:rsid w:val="00420A02"/>
    <w:rsid w:val="00420FA7"/>
    <w:rsid w:val="00422479"/>
    <w:rsid w:val="004234EA"/>
    <w:rsid w:val="00424D27"/>
    <w:rsid w:val="004278BF"/>
    <w:rsid w:val="004305E6"/>
    <w:rsid w:val="00431C49"/>
    <w:rsid w:val="00436BEE"/>
    <w:rsid w:val="0043715D"/>
    <w:rsid w:val="0043771C"/>
    <w:rsid w:val="00445FC0"/>
    <w:rsid w:val="00447F72"/>
    <w:rsid w:val="00452CC0"/>
    <w:rsid w:val="004537A6"/>
    <w:rsid w:val="004546BE"/>
    <w:rsid w:val="00456D4A"/>
    <w:rsid w:val="00456EAE"/>
    <w:rsid w:val="00457B7D"/>
    <w:rsid w:val="00462D42"/>
    <w:rsid w:val="00465E26"/>
    <w:rsid w:val="004673A5"/>
    <w:rsid w:val="004762A1"/>
    <w:rsid w:val="0048012A"/>
    <w:rsid w:val="00483944"/>
    <w:rsid w:val="00484EBC"/>
    <w:rsid w:val="00485F3F"/>
    <w:rsid w:val="0048625C"/>
    <w:rsid w:val="00497CC2"/>
    <w:rsid w:val="004A1113"/>
    <w:rsid w:val="004A18AC"/>
    <w:rsid w:val="004A23F6"/>
    <w:rsid w:val="004A487B"/>
    <w:rsid w:val="004B086A"/>
    <w:rsid w:val="004B2113"/>
    <w:rsid w:val="004B51C4"/>
    <w:rsid w:val="004B675E"/>
    <w:rsid w:val="004C03C5"/>
    <w:rsid w:val="004C538E"/>
    <w:rsid w:val="004C58CD"/>
    <w:rsid w:val="004D1ABB"/>
    <w:rsid w:val="004D24B4"/>
    <w:rsid w:val="004D34D4"/>
    <w:rsid w:val="004D48CE"/>
    <w:rsid w:val="004D5A6B"/>
    <w:rsid w:val="004D737B"/>
    <w:rsid w:val="004E0051"/>
    <w:rsid w:val="004E0474"/>
    <w:rsid w:val="004E2A77"/>
    <w:rsid w:val="004E392F"/>
    <w:rsid w:val="004E6513"/>
    <w:rsid w:val="004E6AF2"/>
    <w:rsid w:val="004E754D"/>
    <w:rsid w:val="004E7740"/>
    <w:rsid w:val="004F1AED"/>
    <w:rsid w:val="004F2235"/>
    <w:rsid w:val="004F460B"/>
    <w:rsid w:val="004F4C6B"/>
    <w:rsid w:val="004F61AD"/>
    <w:rsid w:val="004F6CC3"/>
    <w:rsid w:val="004F713F"/>
    <w:rsid w:val="0050370D"/>
    <w:rsid w:val="00503F27"/>
    <w:rsid w:val="0050563F"/>
    <w:rsid w:val="0050748D"/>
    <w:rsid w:val="005078A5"/>
    <w:rsid w:val="00507C5F"/>
    <w:rsid w:val="00512C75"/>
    <w:rsid w:val="00514A84"/>
    <w:rsid w:val="00517181"/>
    <w:rsid w:val="005175A9"/>
    <w:rsid w:val="00520D4B"/>
    <w:rsid w:val="005223DF"/>
    <w:rsid w:val="00523DB9"/>
    <w:rsid w:val="005317EB"/>
    <w:rsid w:val="00532661"/>
    <w:rsid w:val="00532DA8"/>
    <w:rsid w:val="005331F2"/>
    <w:rsid w:val="00536B69"/>
    <w:rsid w:val="005405A8"/>
    <w:rsid w:val="00541751"/>
    <w:rsid w:val="00541FF9"/>
    <w:rsid w:val="00555904"/>
    <w:rsid w:val="00556D5C"/>
    <w:rsid w:val="005616CA"/>
    <w:rsid w:val="00564691"/>
    <w:rsid w:val="00567F11"/>
    <w:rsid w:val="00574D6C"/>
    <w:rsid w:val="005804A8"/>
    <w:rsid w:val="00580E9E"/>
    <w:rsid w:val="00582FE9"/>
    <w:rsid w:val="005904D4"/>
    <w:rsid w:val="00590823"/>
    <w:rsid w:val="00591603"/>
    <w:rsid w:val="0059234C"/>
    <w:rsid w:val="00592E7D"/>
    <w:rsid w:val="0059397E"/>
    <w:rsid w:val="00597638"/>
    <w:rsid w:val="005976C9"/>
    <w:rsid w:val="005A432A"/>
    <w:rsid w:val="005A6569"/>
    <w:rsid w:val="005A690B"/>
    <w:rsid w:val="005B2D3E"/>
    <w:rsid w:val="005B62AE"/>
    <w:rsid w:val="005B6911"/>
    <w:rsid w:val="005C1334"/>
    <w:rsid w:val="005C4955"/>
    <w:rsid w:val="005D1F19"/>
    <w:rsid w:val="005E3469"/>
    <w:rsid w:val="005E49F9"/>
    <w:rsid w:val="005E67F4"/>
    <w:rsid w:val="005F3D97"/>
    <w:rsid w:val="005F7E58"/>
    <w:rsid w:val="0060484E"/>
    <w:rsid w:val="0060570D"/>
    <w:rsid w:val="00607391"/>
    <w:rsid w:val="006108E6"/>
    <w:rsid w:val="00616FC0"/>
    <w:rsid w:val="0061777A"/>
    <w:rsid w:val="006239D9"/>
    <w:rsid w:val="006248B1"/>
    <w:rsid w:val="00633677"/>
    <w:rsid w:val="006373AF"/>
    <w:rsid w:val="00640C6A"/>
    <w:rsid w:val="00643B43"/>
    <w:rsid w:val="0064471C"/>
    <w:rsid w:val="00651C79"/>
    <w:rsid w:val="00652E91"/>
    <w:rsid w:val="00653629"/>
    <w:rsid w:val="0065454A"/>
    <w:rsid w:val="00662332"/>
    <w:rsid w:val="006633E4"/>
    <w:rsid w:val="00665268"/>
    <w:rsid w:val="006678F1"/>
    <w:rsid w:val="00670738"/>
    <w:rsid w:val="00672DF6"/>
    <w:rsid w:val="006769F9"/>
    <w:rsid w:val="00680358"/>
    <w:rsid w:val="00681C32"/>
    <w:rsid w:val="00683E49"/>
    <w:rsid w:val="00685337"/>
    <w:rsid w:val="00685B2A"/>
    <w:rsid w:val="00697AF7"/>
    <w:rsid w:val="006A327B"/>
    <w:rsid w:val="006A337A"/>
    <w:rsid w:val="006A4750"/>
    <w:rsid w:val="006A47B6"/>
    <w:rsid w:val="006A48ED"/>
    <w:rsid w:val="006A7207"/>
    <w:rsid w:val="006B1BA2"/>
    <w:rsid w:val="006B6967"/>
    <w:rsid w:val="006B75E8"/>
    <w:rsid w:val="006B7DA9"/>
    <w:rsid w:val="006C038C"/>
    <w:rsid w:val="006C2B1F"/>
    <w:rsid w:val="006C406F"/>
    <w:rsid w:val="006C5F9F"/>
    <w:rsid w:val="006D2914"/>
    <w:rsid w:val="006D4B16"/>
    <w:rsid w:val="006E3C3B"/>
    <w:rsid w:val="006E776E"/>
    <w:rsid w:val="006F1F53"/>
    <w:rsid w:val="006F2703"/>
    <w:rsid w:val="006F3DCC"/>
    <w:rsid w:val="00700627"/>
    <w:rsid w:val="0070202C"/>
    <w:rsid w:val="00702D77"/>
    <w:rsid w:val="00706346"/>
    <w:rsid w:val="007064EB"/>
    <w:rsid w:val="00706F1B"/>
    <w:rsid w:val="00712492"/>
    <w:rsid w:val="007152A4"/>
    <w:rsid w:val="0071676F"/>
    <w:rsid w:val="00717394"/>
    <w:rsid w:val="00721888"/>
    <w:rsid w:val="00722949"/>
    <w:rsid w:val="00724E10"/>
    <w:rsid w:val="007272C6"/>
    <w:rsid w:val="00727371"/>
    <w:rsid w:val="00730DEA"/>
    <w:rsid w:val="007336BD"/>
    <w:rsid w:val="0073386B"/>
    <w:rsid w:val="00733D0C"/>
    <w:rsid w:val="0073418A"/>
    <w:rsid w:val="00742F56"/>
    <w:rsid w:val="00744D4C"/>
    <w:rsid w:val="00745B73"/>
    <w:rsid w:val="00746822"/>
    <w:rsid w:val="007472EB"/>
    <w:rsid w:val="00751838"/>
    <w:rsid w:val="0076104B"/>
    <w:rsid w:val="007620F1"/>
    <w:rsid w:val="00763C0A"/>
    <w:rsid w:val="00764BB5"/>
    <w:rsid w:val="00767CC0"/>
    <w:rsid w:val="00771404"/>
    <w:rsid w:val="007723E0"/>
    <w:rsid w:val="00773A4F"/>
    <w:rsid w:val="00774E22"/>
    <w:rsid w:val="00777B1D"/>
    <w:rsid w:val="0078143E"/>
    <w:rsid w:val="007830AB"/>
    <w:rsid w:val="00783C34"/>
    <w:rsid w:val="00784757"/>
    <w:rsid w:val="00792284"/>
    <w:rsid w:val="00792633"/>
    <w:rsid w:val="00795B76"/>
    <w:rsid w:val="007A023B"/>
    <w:rsid w:val="007A07B0"/>
    <w:rsid w:val="007A4CC9"/>
    <w:rsid w:val="007A61EA"/>
    <w:rsid w:val="007A6AC5"/>
    <w:rsid w:val="007A75D5"/>
    <w:rsid w:val="007B03DE"/>
    <w:rsid w:val="007B1A29"/>
    <w:rsid w:val="007B34AC"/>
    <w:rsid w:val="007C0F83"/>
    <w:rsid w:val="007C5839"/>
    <w:rsid w:val="007C69ED"/>
    <w:rsid w:val="007C7051"/>
    <w:rsid w:val="007D06B8"/>
    <w:rsid w:val="007D2295"/>
    <w:rsid w:val="007D501E"/>
    <w:rsid w:val="007D5424"/>
    <w:rsid w:val="007D78B3"/>
    <w:rsid w:val="007E1F33"/>
    <w:rsid w:val="007E2AE4"/>
    <w:rsid w:val="007E4E5C"/>
    <w:rsid w:val="007F15A7"/>
    <w:rsid w:val="007F31E9"/>
    <w:rsid w:val="007F5229"/>
    <w:rsid w:val="007F5377"/>
    <w:rsid w:val="007F63B0"/>
    <w:rsid w:val="007F7A7B"/>
    <w:rsid w:val="00801DDC"/>
    <w:rsid w:val="00811D5F"/>
    <w:rsid w:val="00813F88"/>
    <w:rsid w:val="0081605E"/>
    <w:rsid w:val="00824D5A"/>
    <w:rsid w:val="00824EF5"/>
    <w:rsid w:val="008311E7"/>
    <w:rsid w:val="008321F2"/>
    <w:rsid w:val="00832244"/>
    <w:rsid w:val="00832668"/>
    <w:rsid w:val="00834998"/>
    <w:rsid w:val="0083613A"/>
    <w:rsid w:val="00842914"/>
    <w:rsid w:val="00845FA9"/>
    <w:rsid w:val="00847B50"/>
    <w:rsid w:val="00852453"/>
    <w:rsid w:val="0085292D"/>
    <w:rsid w:val="00855D2C"/>
    <w:rsid w:val="00861B55"/>
    <w:rsid w:val="00862C19"/>
    <w:rsid w:val="008634F0"/>
    <w:rsid w:val="008637A7"/>
    <w:rsid w:val="00864FBE"/>
    <w:rsid w:val="00871EB6"/>
    <w:rsid w:val="00872335"/>
    <w:rsid w:val="00875464"/>
    <w:rsid w:val="00875ADF"/>
    <w:rsid w:val="008869D9"/>
    <w:rsid w:val="00887524"/>
    <w:rsid w:val="00890AAE"/>
    <w:rsid w:val="00895099"/>
    <w:rsid w:val="0089567D"/>
    <w:rsid w:val="008A5A36"/>
    <w:rsid w:val="008A60B2"/>
    <w:rsid w:val="008B02B5"/>
    <w:rsid w:val="008B15C2"/>
    <w:rsid w:val="008B36F6"/>
    <w:rsid w:val="008B4328"/>
    <w:rsid w:val="008D36F8"/>
    <w:rsid w:val="008D4F17"/>
    <w:rsid w:val="008D64CB"/>
    <w:rsid w:val="008E1390"/>
    <w:rsid w:val="008E366F"/>
    <w:rsid w:val="008E4A2A"/>
    <w:rsid w:val="008E624C"/>
    <w:rsid w:val="008F0E0B"/>
    <w:rsid w:val="008F12C4"/>
    <w:rsid w:val="008F2AF5"/>
    <w:rsid w:val="008F2DE5"/>
    <w:rsid w:val="008F34D2"/>
    <w:rsid w:val="008F4339"/>
    <w:rsid w:val="008F5C32"/>
    <w:rsid w:val="008F6F2A"/>
    <w:rsid w:val="008F7B19"/>
    <w:rsid w:val="0090036F"/>
    <w:rsid w:val="00904110"/>
    <w:rsid w:val="00913367"/>
    <w:rsid w:val="00915B24"/>
    <w:rsid w:val="009242B5"/>
    <w:rsid w:val="00924BC5"/>
    <w:rsid w:val="0092576B"/>
    <w:rsid w:val="00926BE5"/>
    <w:rsid w:val="009304CB"/>
    <w:rsid w:val="00935362"/>
    <w:rsid w:val="00940F6A"/>
    <w:rsid w:val="00941AA7"/>
    <w:rsid w:val="0094543C"/>
    <w:rsid w:val="009454C0"/>
    <w:rsid w:val="009457A3"/>
    <w:rsid w:val="009511F4"/>
    <w:rsid w:val="00951298"/>
    <w:rsid w:val="00951642"/>
    <w:rsid w:val="00953630"/>
    <w:rsid w:val="00953DB6"/>
    <w:rsid w:val="009560E6"/>
    <w:rsid w:val="0096003B"/>
    <w:rsid w:val="00963AC9"/>
    <w:rsid w:val="00963B29"/>
    <w:rsid w:val="00966545"/>
    <w:rsid w:val="00973145"/>
    <w:rsid w:val="00981E97"/>
    <w:rsid w:val="00983403"/>
    <w:rsid w:val="00984352"/>
    <w:rsid w:val="00985300"/>
    <w:rsid w:val="00993E04"/>
    <w:rsid w:val="00996A21"/>
    <w:rsid w:val="009A4AD6"/>
    <w:rsid w:val="009A4B4E"/>
    <w:rsid w:val="009A53E3"/>
    <w:rsid w:val="009A592D"/>
    <w:rsid w:val="009A6735"/>
    <w:rsid w:val="009B0AEF"/>
    <w:rsid w:val="009B21A8"/>
    <w:rsid w:val="009B3EC3"/>
    <w:rsid w:val="009B5851"/>
    <w:rsid w:val="009B67CB"/>
    <w:rsid w:val="009B6F4E"/>
    <w:rsid w:val="009B70EF"/>
    <w:rsid w:val="009C1AC4"/>
    <w:rsid w:val="009C6AFC"/>
    <w:rsid w:val="009D0CB8"/>
    <w:rsid w:val="009D22E3"/>
    <w:rsid w:val="009E1E88"/>
    <w:rsid w:val="009E3456"/>
    <w:rsid w:val="009F03E9"/>
    <w:rsid w:val="009F4844"/>
    <w:rsid w:val="00A0164F"/>
    <w:rsid w:val="00A02516"/>
    <w:rsid w:val="00A04EB0"/>
    <w:rsid w:val="00A07002"/>
    <w:rsid w:val="00A1508A"/>
    <w:rsid w:val="00A152DB"/>
    <w:rsid w:val="00A21335"/>
    <w:rsid w:val="00A2133E"/>
    <w:rsid w:val="00A219B3"/>
    <w:rsid w:val="00A23281"/>
    <w:rsid w:val="00A311B5"/>
    <w:rsid w:val="00A32AA5"/>
    <w:rsid w:val="00A36B28"/>
    <w:rsid w:val="00A36E1F"/>
    <w:rsid w:val="00A37BC0"/>
    <w:rsid w:val="00A46FD9"/>
    <w:rsid w:val="00A4703D"/>
    <w:rsid w:val="00A51889"/>
    <w:rsid w:val="00A545CD"/>
    <w:rsid w:val="00A55DC1"/>
    <w:rsid w:val="00A5619A"/>
    <w:rsid w:val="00A60BBA"/>
    <w:rsid w:val="00A60D1F"/>
    <w:rsid w:val="00A63145"/>
    <w:rsid w:val="00A657C1"/>
    <w:rsid w:val="00A669A4"/>
    <w:rsid w:val="00A66A05"/>
    <w:rsid w:val="00A80F19"/>
    <w:rsid w:val="00A85738"/>
    <w:rsid w:val="00A9480F"/>
    <w:rsid w:val="00A94F38"/>
    <w:rsid w:val="00A9662A"/>
    <w:rsid w:val="00A96EF2"/>
    <w:rsid w:val="00AA04C9"/>
    <w:rsid w:val="00AA1DFE"/>
    <w:rsid w:val="00AA7690"/>
    <w:rsid w:val="00AB414C"/>
    <w:rsid w:val="00AB55B5"/>
    <w:rsid w:val="00AC0C29"/>
    <w:rsid w:val="00AC34C0"/>
    <w:rsid w:val="00AD0ECA"/>
    <w:rsid w:val="00AD289C"/>
    <w:rsid w:val="00AD3AB4"/>
    <w:rsid w:val="00AD5DCC"/>
    <w:rsid w:val="00AD5F61"/>
    <w:rsid w:val="00AE2803"/>
    <w:rsid w:val="00AE36CC"/>
    <w:rsid w:val="00AE3A6E"/>
    <w:rsid w:val="00AE4DE9"/>
    <w:rsid w:val="00AF2630"/>
    <w:rsid w:val="00AF2F1F"/>
    <w:rsid w:val="00AF53C6"/>
    <w:rsid w:val="00B00CA0"/>
    <w:rsid w:val="00B05AB1"/>
    <w:rsid w:val="00B11A77"/>
    <w:rsid w:val="00B132B8"/>
    <w:rsid w:val="00B1494A"/>
    <w:rsid w:val="00B1512B"/>
    <w:rsid w:val="00B17122"/>
    <w:rsid w:val="00B21632"/>
    <w:rsid w:val="00B2199E"/>
    <w:rsid w:val="00B2206F"/>
    <w:rsid w:val="00B2395A"/>
    <w:rsid w:val="00B23F1C"/>
    <w:rsid w:val="00B3263E"/>
    <w:rsid w:val="00B43F88"/>
    <w:rsid w:val="00B441F7"/>
    <w:rsid w:val="00B44F7C"/>
    <w:rsid w:val="00B459C1"/>
    <w:rsid w:val="00B4624A"/>
    <w:rsid w:val="00B47A72"/>
    <w:rsid w:val="00B52503"/>
    <w:rsid w:val="00B54A5D"/>
    <w:rsid w:val="00B56006"/>
    <w:rsid w:val="00B566F3"/>
    <w:rsid w:val="00B57D8E"/>
    <w:rsid w:val="00B600C3"/>
    <w:rsid w:val="00B62DE6"/>
    <w:rsid w:val="00B6456D"/>
    <w:rsid w:val="00B671E8"/>
    <w:rsid w:val="00B67B42"/>
    <w:rsid w:val="00B711F7"/>
    <w:rsid w:val="00B71C5E"/>
    <w:rsid w:val="00B72374"/>
    <w:rsid w:val="00B72DDD"/>
    <w:rsid w:val="00B73899"/>
    <w:rsid w:val="00B749A3"/>
    <w:rsid w:val="00B75AEF"/>
    <w:rsid w:val="00B7641C"/>
    <w:rsid w:val="00B91310"/>
    <w:rsid w:val="00B93387"/>
    <w:rsid w:val="00B97749"/>
    <w:rsid w:val="00BA22D4"/>
    <w:rsid w:val="00BB0706"/>
    <w:rsid w:val="00BC32A2"/>
    <w:rsid w:val="00BC473F"/>
    <w:rsid w:val="00BC544D"/>
    <w:rsid w:val="00BC6D4F"/>
    <w:rsid w:val="00BD3332"/>
    <w:rsid w:val="00BD33A2"/>
    <w:rsid w:val="00BD3D6B"/>
    <w:rsid w:val="00BD3F22"/>
    <w:rsid w:val="00BD5A8C"/>
    <w:rsid w:val="00BE26E9"/>
    <w:rsid w:val="00BE4636"/>
    <w:rsid w:val="00BE58AA"/>
    <w:rsid w:val="00BE68AC"/>
    <w:rsid w:val="00BF117C"/>
    <w:rsid w:val="00BF1898"/>
    <w:rsid w:val="00BF2E26"/>
    <w:rsid w:val="00BF7DA9"/>
    <w:rsid w:val="00C0185A"/>
    <w:rsid w:val="00C023D2"/>
    <w:rsid w:val="00C0382C"/>
    <w:rsid w:val="00C05679"/>
    <w:rsid w:val="00C0731D"/>
    <w:rsid w:val="00C10145"/>
    <w:rsid w:val="00C15017"/>
    <w:rsid w:val="00C22F53"/>
    <w:rsid w:val="00C25873"/>
    <w:rsid w:val="00C30137"/>
    <w:rsid w:val="00C318F4"/>
    <w:rsid w:val="00C33B2C"/>
    <w:rsid w:val="00C34515"/>
    <w:rsid w:val="00C34B50"/>
    <w:rsid w:val="00C41D82"/>
    <w:rsid w:val="00C4289C"/>
    <w:rsid w:val="00C4727B"/>
    <w:rsid w:val="00C47F32"/>
    <w:rsid w:val="00C53A6B"/>
    <w:rsid w:val="00C56CF1"/>
    <w:rsid w:val="00C6179A"/>
    <w:rsid w:val="00C62827"/>
    <w:rsid w:val="00C629CD"/>
    <w:rsid w:val="00C6491F"/>
    <w:rsid w:val="00C6753D"/>
    <w:rsid w:val="00C71230"/>
    <w:rsid w:val="00C721F0"/>
    <w:rsid w:val="00C73509"/>
    <w:rsid w:val="00C755CA"/>
    <w:rsid w:val="00C756A9"/>
    <w:rsid w:val="00C76C89"/>
    <w:rsid w:val="00C772F5"/>
    <w:rsid w:val="00C90652"/>
    <w:rsid w:val="00C91564"/>
    <w:rsid w:val="00C9208F"/>
    <w:rsid w:val="00C92796"/>
    <w:rsid w:val="00C959FE"/>
    <w:rsid w:val="00C95B62"/>
    <w:rsid w:val="00CA2DC3"/>
    <w:rsid w:val="00CA53C5"/>
    <w:rsid w:val="00CA55FF"/>
    <w:rsid w:val="00CB231D"/>
    <w:rsid w:val="00CB2B19"/>
    <w:rsid w:val="00CB4645"/>
    <w:rsid w:val="00CB7C49"/>
    <w:rsid w:val="00CC030D"/>
    <w:rsid w:val="00CC144F"/>
    <w:rsid w:val="00CC6A54"/>
    <w:rsid w:val="00CC7921"/>
    <w:rsid w:val="00CD09CB"/>
    <w:rsid w:val="00CD1193"/>
    <w:rsid w:val="00CD1623"/>
    <w:rsid w:val="00CE1496"/>
    <w:rsid w:val="00CE2843"/>
    <w:rsid w:val="00CE32F6"/>
    <w:rsid w:val="00CE42F0"/>
    <w:rsid w:val="00CE5829"/>
    <w:rsid w:val="00CF3745"/>
    <w:rsid w:val="00CF6622"/>
    <w:rsid w:val="00CF7041"/>
    <w:rsid w:val="00D02DCD"/>
    <w:rsid w:val="00D02E61"/>
    <w:rsid w:val="00D108B6"/>
    <w:rsid w:val="00D146C5"/>
    <w:rsid w:val="00D20F68"/>
    <w:rsid w:val="00D23A0D"/>
    <w:rsid w:val="00D44BA9"/>
    <w:rsid w:val="00D470DA"/>
    <w:rsid w:val="00D5199F"/>
    <w:rsid w:val="00D55D5B"/>
    <w:rsid w:val="00D570C8"/>
    <w:rsid w:val="00D57D43"/>
    <w:rsid w:val="00D63996"/>
    <w:rsid w:val="00D659CC"/>
    <w:rsid w:val="00D66839"/>
    <w:rsid w:val="00D67628"/>
    <w:rsid w:val="00D67D9E"/>
    <w:rsid w:val="00D75097"/>
    <w:rsid w:val="00D86296"/>
    <w:rsid w:val="00D874AA"/>
    <w:rsid w:val="00D8780C"/>
    <w:rsid w:val="00D87AF2"/>
    <w:rsid w:val="00D92CDD"/>
    <w:rsid w:val="00D92D6C"/>
    <w:rsid w:val="00DA0DDF"/>
    <w:rsid w:val="00DA19E6"/>
    <w:rsid w:val="00DA3051"/>
    <w:rsid w:val="00DA32D4"/>
    <w:rsid w:val="00DA5CF2"/>
    <w:rsid w:val="00DB0229"/>
    <w:rsid w:val="00DB0F23"/>
    <w:rsid w:val="00DB2885"/>
    <w:rsid w:val="00DB3B5C"/>
    <w:rsid w:val="00DB4515"/>
    <w:rsid w:val="00DB4EF3"/>
    <w:rsid w:val="00DB509E"/>
    <w:rsid w:val="00DC1F8D"/>
    <w:rsid w:val="00DC477A"/>
    <w:rsid w:val="00DD53F7"/>
    <w:rsid w:val="00DE01C7"/>
    <w:rsid w:val="00DE05E6"/>
    <w:rsid w:val="00DE2FD9"/>
    <w:rsid w:val="00DE41D2"/>
    <w:rsid w:val="00DF1260"/>
    <w:rsid w:val="00DF1A3E"/>
    <w:rsid w:val="00DF3FD7"/>
    <w:rsid w:val="00DF569D"/>
    <w:rsid w:val="00E03A3E"/>
    <w:rsid w:val="00E054D8"/>
    <w:rsid w:val="00E1356A"/>
    <w:rsid w:val="00E15B2C"/>
    <w:rsid w:val="00E17900"/>
    <w:rsid w:val="00E2078A"/>
    <w:rsid w:val="00E21B69"/>
    <w:rsid w:val="00E250D8"/>
    <w:rsid w:val="00E26FBA"/>
    <w:rsid w:val="00E33277"/>
    <w:rsid w:val="00E3349A"/>
    <w:rsid w:val="00E335B5"/>
    <w:rsid w:val="00E3536B"/>
    <w:rsid w:val="00E35AE8"/>
    <w:rsid w:val="00E36070"/>
    <w:rsid w:val="00E45D39"/>
    <w:rsid w:val="00E46506"/>
    <w:rsid w:val="00E469EC"/>
    <w:rsid w:val="00E47AEB"/>
    <w:rsid w:val="00E5034A"/>
    <w:rsid w:val="00E54894"/>
    <w:rsid w:val="00E54F53"/>
    <w:rsid w:val="00E550AC"/>
    <w:rsid w:val="00E554AE"/>
    <w:rsid w:val="00E571FB"/>
    <w:rsid w:val="00E5726F"/>
    <w:rsid w:val="00E6274A"/>
    <w:rsid w:val="00E65D1D"/>
    <w:rsid w:val="00E6658D"/>
    <w:rsid w:val="00E66742"/>
    <w:rsid w:val="00E66CC3"/>
    <w:rsid w:val="00E70079"/>
    <w:rsid w:val="00E71554"/>
    <w:rsid w:val="00E71628"/>
    <w:rsid w:val="00E72970"/>
    <w:rsid w:val="00E74ED5"/>
    <w:rsid w:val="00E80027"/>
    <w:rsid w:val="00E80E3E"/>
    <w:rsid w:val="00E8454F"/>
    <w:rsid w:val="00E845B1"/>
    <w:rsid w:val="00E860AB"/>
    <w:rsid w:val="00E90359"/>
    <w:rsid w:val="00E94593"/>
    <w:rsid w:val="00E94B6D"/>
    <w:rsid w:val="00E96DDF"/>
    <w:rsid w:val="00E972CD"/>
    <w:rsid w:val="00EA10ED"/>
    <w:rsid w:val="00EA136D"/>
    <w:rsid w:val="00EA3031"/>
    <w:rsid w:val="00EA4161"/>
    <w:rsid w:val="00EA4230"/>
    <w:rsid w:val="00EA70FB"/>
    <w:rsid w:val="00EB120F"/>
    <w:rsid w:val="00EB1978"/>
    <w:rsid w:val="00EB4247"/>
    <w:rsid w:val="00EB660F"/>
    <w:rsid w:val="00EB77CA"/>
    <w:rsid w:val="00EC165C"/>
    <w:rsid w:val="00EC1E82"/>
    <w:rsid w:val="00EC69A4"/>
    <w:rsid w:val="00ED205D"/>
    <w:rsid w:val="00ED3364"/>
    <w:rsid w:val="00ED5F82"/>
    <w:rsid w:val="00ED7A15"/>
    <w:rsid w:val="00EE76B2"/>
    <w:rsid w:val="00EF0999"/>
    <w:rsid w:val="00EF6AC2"/>
    <w:rsid w:val="00F009D6"/>
    <w:rsid w:val="00F06362"/>
    <w:rsid w:val="00F06949"/>
    <w:rsid w:val="00F10DD8"/>
    <w:rsid w:val="00F15165"/>
    <w:rsid w:val="00F21E8C"/>
    <w:rsid w:val="00F2362A"/>
    <w:rsid w:val="00F23D81"/>
    <w:rsid w:val="00F32DAE"/>
    <w:rsid w:val="00F36362"/>
    <w:rsid w:val="00F4367C"/>
    <w:rsid w:val="00F43823"/>
    <w:rsid w:val="00F500D3"/>
    <w:rsid w:val="00F51B06"/>
    <w:rsid w:val="00F51E6A"/>
    <w:rsid w:val="00F53AFC"/>
    <w:rsid w:val="00F541FD"/>
    <w:rsid w:val="00F5466E"/>
    <w:rsid w:val="00F56E74"/>
    <w:rsid w:val="00F577D6"/>
    <w:rsid w:val="00F6039C"/>
    <w:rsid w:val="00F60E45"/>
    <w:rsid w:val="00F630EA"/>
    <w:rsid w:val="00F70CAE"/>
    <w:rsid w:val="00F7170C"/>
    <w:rsid w:val="00F71E0C"/>
    <w:rsid w:val="00F80947"/>
    <w:rsid w:val="00F80BB5"/>
    <w:rsid w:val="00F81557"/>
    <w:rsid w:val="00F85016"/>
    <w:rsid w:val="00F86DF9"/>
    <w:rsid w:val="00F86E6F"/>
    <w:rsid w:val="00F91180"/>
    <w:rsid w:val="00F936FD"/>
    <w:rsid w:val="00F938CD"/>
    <w:rsid w:val="00F9650F"/>
    <w:rsid w:val="00F9651D"/>
    <w:rsid w:val="00F97AE1"/>
    <w:rsid w:val="00FA42CA"/>
    <w:rsid w:val="00FA7A17"/>
    <w:rsid w:val="00FB27AD"/>
    <w:rsid w:val="00FB44CD"/>
    <w:rsid w:val="00FC1623"/>
    <w:rsid w:val="00FD17E9"/>
    <w:rsid w:val="00FD3E57"/>
    <w:rsid w:val="00FD533D"/>
    <w:rsid w:val="00FD7CEE"/>
    <w:rsid w:val="00FD7F5E"/>
    <w:rsid w:val="00FE22C2"/>
    <w:rsid w:val="00FE438E"/>
    <w:rsid w:val="00FE78B6"/>
    <w:rsid w:val="00FF0A24"/>
    <w:rsid w:val="00FF1E9C"/>
    <w:rsid w:val="00FF5ACE"/>
    <w:rsid w:val="01340338"/>
    <w:rsid w:val="013C0F41"/>
    <w:rsid w:val="01AA2C9C"/>
    <w:rsid w:val="01ED3E94"/>
    <w:rsid w:val="01FC4887"/>
    <w:rsid w:val="025D0094"/>
    <w:rsid w:val="03A32D40"/>
    <w:rsid w:val="03AA1D2B"/>
    <w:rsid w:val="03DF26A1"/>
    <w:rsid w:val="04052394"/>
    <w:rsid w:val="05055638"/>
    <w:rsid w:val="052538A4"/>
    <w:rsid w:val="05FE4608"/>
    <w:rsid w:val="07C210E2"/>
    <w:rsid w:val="07E30082"/>
    <w:rsid w:val="082C2ECD"/>
    <w:rsid w:val="095D02E0"/>
    <w:rsid w:val="0BD14A53"/>
    <w:rsid w:val="0D425BD1"/>
    <w:rsid w:val="0D7E1160"/>
    <w:rsid w:val="0D88223F"/>
    <w:rsid w:val="0E775EE3"/>
    <w:rsid w:val="0EDB3AB8"/>
    <w:rsid w:val="107749DC"/>
    <w:rsid w:val="11200232"/>
    <w:rsid w:val="11EF3F37"/>
    <w:rsid w:val="12FA1594"/>
    <w:rsid w:val="13D026E3"/>
    <w:rsid w:val="13D276BB"/>
    <w:rsid w:val="166B6EFD"/>
    <w:rsid w:val="16AB6ADB"/>
    <w:rsid w:val="16B73DD2"/>
    <w:rsid w:val="177A5496"/>
    <w:rsid w:val="191F1E7B"/>
    <w:rsid w:val="19357421"/>
    <w:rsid w:val="19D600E1"/>
    <w:rsid w:val="1CAA04E0"/>
    <w:rsid w:val="1CF90395"/>
    <w:rsid w:val="1E2D471E"/>
    <w:rsid w:val="1E4A18E9"/>
    <w:rsid w:val="1EB85CE6"/>
    <w:rsid w:val="213D62E5"/>
    <w:rsid w:val="219B6089"/>
    <w:rsid w:val="226D2B5A"/>
    <w:rsid w:val="22B3060F"/>
    <w:rsid w:val="24011A9F"/>
    <w:rsid w:val="24BF27DB"/>
    <w:rsid w:val="2514617C"/>
    <w:rsid w:val="290E0FBE"/>
    <w:rsid w:val="29DB7212"/>
    <w:rsid w:val="2A19284B"/>
    <w:rsid w:val="2A5262AC"/>
    <w:rsid w:val="2BAC4D85"/>
    <w:rsid w:val="2BE635ED"/>
    <w:rsid w:val="2C3D1EFE"/>
    <w:rsid w:val="2D040E5A"/>
    <w:rsid w:val="2EE67B62"/>
    <w:rsid w:val="2EEC7C7B"/>
    <w:rsid w:val="2FAD532D"/>
    <w:rsid w:val="305441BE"/>
    <w:rsid w:val="326D1565"/>
    <w:rsid w:val="32DF1FCD"/>
    <w:rsid w:val="33082FB4"/>
    <w:rsid w:val="33153309"/>
    <w:rsid w:val="33B65CDB"/>
    <w:rsid w:val="33CE51AA"/>
    <w:rsid w:val="35D330D3"/>
    <w:rsid w:val="36060AC1"/>
    <w:rsid w:val="365171B7"/>
    <w:rsid w:val="378D71D2"/>
    <w:rsid w:val="37FFCCB3"/>
    <w:rsid w:val="38A41528"/>
    <w:rsid w:val="38B115C0"/>
    <w:rsid w:val="390135E9"/>
    <w:rsid w:val="3AC050A2"/>
    <w:rsid w:val="3B854F2C"/>
    <w:rsid w:val="3E2E22CE"/>
    <w:rsid w:val="3E420325"/>
    <w:rsid w:val="3E9B6ECD"/>
    <w:rsid w:val="3F074F54"/>
    <w:rsid w:val="3FA33FAD"/>
    <w:rsid w:val="3FD025D0"/>
    <w:rsid w:val="419A27CC"/>
    <w:rsid w:val="45A44D00"/>
    <w:rsid w:val="46144FAF"/>
    <w:rsid w:val="464F3C7F"/>
    <w:rsid w:val="46FD5DEC"/>
    <w:rsid w:val="48784207"/>
    <w:rsid w:val="498274F0"/>
    <w:rsid w:val="4A7366B4"/>
    <w:rsid w:val="4BD2026A"/>
    <w:rsid w:val="4E22264D"/>
    <w:rsid w:val="4E431630"/>
    <w:rsid w:val="4E97608F"/>
    <w:rsid w:val="4F057B8D"/>
    <w:rsid w:val="4F167218"/>
    <w:rsid w:val="4F8D452F"/>
    <w:rsid w:val="503472E7"/>
    <w:rsid w:val="522A6EA2"/>
    <w:rsid w:val="527861BF"/>
    <w:rsid w:val="52DE64A3"/>
    <w:rsid w:val="55573AC9"/>
    <w:rsid w:val="55FA79D4"/>
    <w:rsid w:val="56F37A56"/>
    <w:rsid w:val="577B5668"/>
    <w:rsid w:val="577FF3F4"/>
    <w:rsid w:val="588A3234"/>
    <w:rsid w:val="5997771E"/>
    <w:rsid w:val="5B126E48"/>
    <w:rsid w:val="5B265EC4"/>
    <w:rsid w:val="5B62503D"/>
    <w:rsid w:val="5BF13FC0"/>
    <w:rsid w:val="5C796D28"/>
    <w:rsid w:val="5DAB3CC6"/>
    <w:rsid w:val="5E5F1D1E"/>
    <w:rsid w:val="60760EED"/>
    <w:rsid w:val="631008A0"/>
    <w:rsid w:val="63EC6E30"/>
    <w:rsid w:val="64672BD5"/>
    <w:rsid w:val="64867127"/>
    <w:rsid w:val="65AC7AC7"/>
    <w:rsid w:val="65D34540"/>
    <w:rsid w:val="662252CE"/>
    <w:rsid w:val="66BA65DD"/>
    <w:rsid w:val="67881D05"/>
    <w:rsid w:val="67F33FAC"/>
    <w:rsid w:val="67FBD4B2"/>
    <w:rsid w:val="6869544A"/>
    <w:rsid w:val="688D5160"/>
    <w:rsid w:val="69D13089"/>
    <w:rsid w:val="6AB412D8"/>
    <w:rsid w:val="6BED7FC4"/>
    <w:rsid w:val="6E60444B"/>
    <w:rsid w:val="6F8C7BD6"/>
    <w:rsid w:val="6FF5E0A4"/>
    <w:rsid w:val="708C2456"/>
    <w:rsid w:val="70C434C1"/>
    <w:rsid w:val="71AA38E5"/>
    <w:rsid w:val="72083027"/>
    <w:rsid w:val="72FB3543"/>
    <w:rsid w:val="73F926F1"/>
    <w:rsid w:val="74431245"/>
    <w:rsid w:val="76816ABE"/>
    <w:rsid w:val="76866AF6"/>
    <w:rsid w:val="769C2157"/>
    <w:rsid w:val="77155079"/>
    <w:rsid w:val="771F3558"/>
    <w:rsid w:val="78633D4E"/>
    <w:rsid w:val="78D270C7"/>
    <w:rsid w:val="795D3FF3"/>
    <w:rsid w:val="7B371773"/>
    <w:rsid w:val="7B4C6231"/>
    <w:rsid w:val="7C0D3568"/>
    <w:rsid w:val="7D6E11ED"/>
    <w:rsid w:val="7D8D21EE"/>
    <w:rsid w:val="7DBDD1F8"/>
    <w:rsid w:val="7E065189"/>
    <w:rsid w:val="7E8E7EA7"/>
    <w:rsid w:val="FFE5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qFormat="1" w:uiPriority="99"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640" w:firstLineChars="200"/>
      <w:jc w:val="both"/>
    </w:pPr>
    <w:rPr>
      <w:rFonts w:ascii="仿宋" w:hAnsi="仿宋" w:eastAsia="仿宋" w:cs="Times New Roman"/>
      <w:kern w:val="2"/>
      <w:sz w:val="32"/>
      <w:szCs w:val="24"/>
      <w:lang w:val="en-US" w:eastAsia="zh-CN" w:bidi="ar-SA"/>
    </w:rPr>
  </w:style>
  <w:style w:type="paragraph" w:styleId="2">
    <w:name w:val="heading 1"/>
    <w:basedOn w:val="1"/>
    <w:next w:val="1"/>
    <w:link w:val="85"/>
    <w:qFormat/>
    <w:uiPriority w:val="9"/>
    <w:pPr>
      <w:keepNext/>
      <w:keepLines/>
      <w:spacing w:line="240" w:lineRule="auto"/>
      <w:ind w:firstLine="0" w:firstLineChars="0"/>
      <w:jc w:val="left"/>
      <w:outlineLvl w:val="0"/>
    </w:pPr>
    <w:rPr>
      <w:rFonts w:ascii="Times New Roman" w:hAnsi="Times New Roman" w:eastAsia="黑体"/>
      <w:b/>
      <w:bCs/>
      <w:kern w:val="44"/>
      <w:sz w:val="36"/>
      <w:szCs w:val="44"/>
    </w:rPr>
  </w:style>
  <w:style w:type="paragraph" w:styleId="3">
    <w:name w:val="heading 2"/>
    <w:basedOn w:val="1"/>
    <w:next w:val="1"/>
    <w:link w:val="86"/>
    <w:unhideWhenUsed/>
    <w:qFormat/>
    <w:uiPriority w:val="9"/>
    <w:pPr>
      <w:keepNext/>
      <w:keepLines/>
      <w:spacing w:line="240" w:lineRule="auto"/>
      <w:ind w:firstLine="0" w:firstLineChars="0"/>
      <w:outlineLvl w:val="1"/>
    </w:pPr>
    <w:rPr>
      <w:rFonts w:ascii="Times New Roman" w:hAnsi="Times New Roman" w:eastAsia="楷体"/>
      <w:b/>
      <w:bCs/>
      <w:szCs w:val="32"/>
    </w:rPr>
  </w:style>
  <w:style w:type="paragraph" w:styleId="4">
    <w:name w:val="heading 3"/>
    <w:basedOn w:val="1"/>
    <w:next w:val="1"/>
    <w:link w:val="87"/>
    <w:unhideWhenUsed/>
    <w:qFormat/>
    <w:uiPriority w:val="9"/>
    <w:pPr>
      <w:keepNext/>
      <w:keepLines/>
      <w:spacing w:line="240" w:lineRule="auto"/>
      <w:ind w:firstLine="0" w:firstLineChars="0"/>
      <w:outlineLvl w:val="2"/>
    </w:pPr>
    <w:rPr>
      <w:rFonts w:ascii="Times New Roman" w:hAnsi="Times New Roman" w:eastAsia="楷体"/>
      <w:bCs/>
      <w:szCs w:val="32"/>
    </w:rPr>
  </w:style>
  <w:style w:type="paragraph" w:styleId="5">
    <w:name w:val="heading 4"/>
    <w:basedOn w:val="1"/>
    <w:next w:val="1"/>
    <w:link w:val="88"/>
    <w:unhideWhenUsed/>
    <w:qFormat/>
    <w:uiPriority w:val="9"/>
    <w:pPr>
      <w:keepNext/>
      <w:keepLines/>
      <w:spacing w:line="240" w:lineRule="auto"/>
      <w:ind w:firstLine="0" w:firstLineChars="0"/>
      <w:outlineLvl w:val="3"/>
    </w:pPr>
    <w:rPr>
      <w:rFonts w:ascii="Times New Roman" w:hAnsi="Times New Roman" w:eastAsia="楷体"/>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ascii="Calibri" w:hAnsi="Calibri"/>
      <w:sz w:val="18"/>
      <w:szCs w:val="18"/>
    </w:rPr>
  </w:style>
  <w:style w:type="paragraph" w:styleId="7">
    <w:name w:val="Normal Indent"/>
    <w:basedOn w:val="1"/>
    <w:link w:val="120"/>
    <w:qFormat/>
    <w:uiPriority w:val="0"/>
    <w:pPr>
      <w:ind w:firstLine="0" w:firstLineChars="0"/>
      <w:jc w:val="left"/>
    </w:pPr>
    <w:rPr>
      <w:rFonts w:ascii="Times New Roman" w:hAnsi="Times New Roman" w:eastAsia="宋体"/>
      <w:sz w:val="28"/>
    </w:rPr>
  </w:style>
  <w:style w:type="paragraph" w:styleId="8">
    <w:name w:val="caption"/>
    <w:basedOn w:val="1"/>
    <w:next w:val="1"/>
    <w:unhideWhenUsed/>
    <w:qFormat/>
    <w:uiPriority w:val="35"/>
    <w:pPr>
      <w:spacing w:after="200" w:line="276" w:lineRule="auto"/>
      <w:ind w:firstLine="0" w:firstLineChars="0"/>
      <w:jc w:val="left"/>
    </w:pPr>
    <w:rPr>
      <w:rFonts w:ascii="Calibri Light" w:hAnsi="Calibri Light" w:eastAsia="黑体" w:cs="黑体"/>
      <w:sz w:val="20"/>
      <w:szCs w:val="20"/>
      <w:lang w:eastAsia="en-US"/>
    </w:rPr>
  </w:style>
  <w:style w:type="paragraph" w:styleId="9">
    <w:name w:val="Document Map"/>
    <w:basedOn w:val="1"/>
    <w:link w:val="89"/>
    <w:unhideWhenUsed/>
    <w:qFormat/>
    <w:uiPriority w:val="99"/>
    <w:rPr>
      <w:rFonts w:ascii="宋体" w:eastAsia="宋体"/>
      <w:sz w:val="18"/>
      <w:szCs w:val="18"/>
    </w:rPr>
  </w:style>
  <w:style w:type="paragraph" w:styleId="10">
    <w:name w:val="annotation text"/>
    <w:basedOn w:val="1"/>
    <w:link w:val="94"/>
    <w:semiHidden/>
    <w:unhideWhenUsed/>
    <w:qFormat/>
    <w:uiPriority w:val="99"/>
    <w:pPr>
      <w:jc w:val="left"/>
    </w:pPr>
  </w:style>
  <w:style w:type="paragraph" w:styleId="11">
    <w:name w:val="Body Text"/>
    <w:basedOn w:val="1"/>
    <w:link w:val="99"/>
    <w:qFormat/>
    <w:uiPriority w:val="0"/>
    <w:pPr>
      <w:spacing w:after="120"/>
      <w:ind w:firstLine="200"/>
    </w:pPr>
    <w:rPr>
      <w:rFonts w:ascii="Times New Roman" w:hAnsi="Times New Roman"/>
    </w:rPr>
  </w:style>
  <w:style w:type="paragraph" w:styleId="12">
    <w:name w:val="Body Text Indent"/>
    <w:basedOn w:val="1"/>
    <w:link w:val="105"/>
    <w:qFormat/>
    <w:uiPriority w:val="0"/>
    <w:pPr>
      <w:spacing w:after="120"/>
      <w:ind w:left="420" w:leftChars="200" w:firstLine="200"/>
    </w:pPr>
    <w:rPr>
      <w:rFonts w:ascii="Times New Roman" w:hAnsi="Times New Roman" w:eastAsia="仿宋_GB2312"/>
      <w:sz w:val="30"/>
    </w:rPr>
  </w:style>
  <w:style w:type="paragraph" w:styleId="13">
    <w:name w:val="toc 5"/>
    <w:basedOn w:val="1"/>
    <w:next w:val="1"/>
    <w:unhideWhenUsed/>
    <w:qFormat/>
    <w:uiPriority w:val="39"/>
    <w:pPr>
      <w:ind w:left="960"/>
      <w:jc w:val="left"/>
    </w:pPr>
    <w:rPr>
      <w:rFonts w:ascii="Calibri" w:hAnsi="Calibri"/>
      <w:sz w:val="18"/>
      <w:szCs w:val="18"/>
    </w:rPr>
  </w:style>
  <w:style w:type="paragraph" w:styleId="14">
    <w:name w:val="toc 3"/>
    <w:basedOn w:val="1"/>
    <w:next w:val="1"/>
    <w:unhideWhenUsed/>
    <w:qFormat/>
    <w:uiPriority w:val="39"/>
    <w:pPr>
      <w:ind w:left="480"/>
      <w:jc w:val="left"/>
    </w:pPr>
    <w:rPr>
      <w:rFonts w:ascii="Calibri" w:hAnsi="Calibri"/>
      <w:i/>
      <w:iCs/>
      <w:sz w:val="20"/>
      <w:szCs w:val="20"/>
    </w:rPr>
  </w:style>
  <w:style w:type="paragraph" w:styleId="15">
    <w:name w:val="toc 8"/>
    <w:basedOn w:val="1"/>
    <w:next w:val="1"/>
    <w:unhideWhenUsed/>
    <w:qFormat/>
    <w:uiPriority w:val="39"/>
    <w:pPr>
      <w:ind w:left="1680"/>
      <w:jc w:val="left"/>
    </w:pPr>
    <w:rPr>
      <w:rFonts w:ascii="Calibri" w:hAnsi="Calibri"/>
      <w:sz w:val="18"/>
      <w:szCs w:val="18"/>
    </w:rPr>
  </w:style>
  <w:style w:type="paragraph" w:styleId="16">
    <w:name w:val="Date"/>
    <w:basedOn w:val="1"/>
    <w:next w:val="1"/>
    <w:link w:val="97"/>
    <w:qFormat/>
    <w:uiPriority w:val="0"/>
    <w:pPr>
      <w:ind w:left="100" w:leftChars="2500" w:firstLine="200"/>
    </w:pPr>
    <w:rPr>
      <w:rFonts w:ascii="Times New Roman" w:hAnsi="Times New Roman"/>
    </w:rPr>
  </w:style>
  <w:style w:type="paragraph" w:styleId="17">
    <w:name w:val="Body Text Indent 2"/>
    <w:basedOn w:val="1"/>
    <w:link w:val="106"/>
    <w:qFormat/>
    <w:uiPriority w:val="0"/>
    <w:pPr>
      <w:spacing w:after="120" w:line="480" w:lineRule="auto"/>
      <w:ind w:left="420" w:leftChars="200" w:firstLine="200"/>
    </w:pPr>
    <w:rPr>
      <w:rFonts w:ascii="Times New Roman" w:hAnsi="Times New Roman" w:eastAsia="仿宋_GB2312"/>
      <w:sz w:val="30"/>
    </w:rPr>
  </w:style>
  <w:style w:type="paragraph" w:styleId="18">
    <w:name w:val="endnote text"/>
    <w:basedOn w:val="1"/>
    <w:link w:val="96"/>
    <w:semiHidden/>
    <w:unhideWhenUsed/>
    <w:qFormat/>
    <w:uiPriority w:val="99"/>
    <w:pPr>
      <w:snapToGrid w:val="0"/>
      <w:jc w:val="left"/>
    </w:pPr>
  </w:style>
  <w:style w:type="paragraph" w:styleId="19">
    <w:name w:val="Balloon Text"/>
    <w:basedOn w:val="1"/>
    <w:link w:val="90"/>
    <w:semiHidden/>
    <w:unhideWhenUsed/>
    <w:qFormat/>
    <w:uiPriority w:val="99"/>
    <w:pPr>
      <w:spacing w:line="240" w:lineRule="auto"/>
    </w:pPr>
    <w:rPr>
      <w:sz w:val="18"/>
      <w:szCs w:val="18"/>
    </w:rPr>
  </w:style>
  <w:style w:type="paragraph" w:styleId="20">
    <w:name w:val="footer"/>
    <w:basedOn w:val="1"/>
    <w:link w:val="91"/>
    <w:unhideWhenUsed/>
    <w:qFormat/>
    <w:uiPriority w:val="99"/>
    <w:pPr>
      <w:tabs>
        <w:tab w:val="center" w:pos="4153"/>
        <w:tab w:val="right" w:pos="8306"/>
      </w:tabs>
      <w:snapToGrid w:val="0"/>
      <w:jc w:val="left"/>
    </w:pPr>
    <w:rPr>
      <w:sz w:val="18"/>
      <w:szCs w:val="18"/>
    </w:rPr>
  </w:style>
  <w:style w:type="paragraph" w:styleId="21">
    <w:name w:val="header"/>
    <w:basedOn w:val="1"/>
    <w:link w:val="9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rFonts w:ascii="Calibri" w:hAnsi="Calibri"/>
      <w:b/>
      <w:bCs/>
      <w:caps/>
      <w:sz w:val="20"/>
      <w:szCs w:val="20"/>
    </w:rPr>
  </w:style>
  <w:style w:type="paragraph" w:styleId="23">
    <w:name w:val="toc 4"/>
    <w:basedOn w:val="1"/>
    <w:next w:val="1"/>
    <w:unhideWhenUsed/>
    <w:qFormat/>
    <w:uiPriority w:val="39"/>
    <w:pPr>
      <w:ind w:left="720"/>
      <w:jc w:val="left"/>
    </w:pPr>
    <w:rPr>
      <w:rFonts w:ascii="Calibri" w:hAnsi="Calibri"/>
      <w:sz w:val="18"/>
      <w:szCs w:val="18"/>
    </w:rPr>
  </w:style>
  <w:style w:type="paragraph" w:styleId="24">
    <w:name w:val="List"/>
    <w:basedOn w:val="1"/>
    <w:qFormat/>
    <w:uiPriority w:val="0"/>
    <w:pPr>
      <w:spacing w:line="240" w:lineRule="exact"/>
      <w:ind w:firstLine="0" w:firstLineChars="0"/>
    </w:pPr>
    <w:rPr>
      <w:rFonts w:ascii="Times New Roman" w:hAnsi="Times New Roman" w:eastAsia="宋体"/>
      <w:sz w:val="21"/>
    </w:rPr>
  </w:style>
  <w:style w:type="paragraph" w:styleId="25">
    <w:name w:val="toc 6"/>
    <w:basedOn w:val="1"/>
    <w:next w:val="1"/>
    <w:unhideWhenUsed/>
    <w:qFormat/>
    <w:uiPriority w:val="39"/>
    <w:pPr>
      <w:ind w:left="1200"/>
      <w:jc w:val="left"/>
    </w:pPr>
    <w:rPr>
      <w:rFonts w:ascii="Calibri" w:hAnsi="Calibri"/>
      <w:sz w:val="18"/>
      <w:szCs w:val="18"/>
    </w:rPr>
  </w:style>
  <w:style w:type="paragraph" w:styleId="26">
    <w:name w:val="toc 2"/>
    <w:basedOn w:val="1"/>
    <w:next w:val="1"/>
    <w:unhideWhenUsed/>
    <w:qFormat/>
    <w:uiPriority w:val="39"/>
    <w:pPr>
      <w:ind w:left="240"/>
      <w:jc w:val="left"/>
    </w:pPr>
    <w:rPr>
      <w:rFonts w:ascii="Calibri" w:hAnsi="Calibri"/>
      <w:smallCaps/>
      <w:sz w:val="20"/>
      <w:szCs w:val="20"/>
    </w:rPr>
  </w:style>
  <w:style w:type="paragraph" w:styleId="27">
    <w:name w:val="toc 9"/>
    <w:basedOn w:val="1"/>
    <w:next w:val="1"/>
    <w:unhideWhenUsed/>
    <w:qFormat/>
    <w:uiPriority w:val="39"/>
    <w:pPr>
      <w:ind w:left="1920"/>
      <w:jc w:val="left"/>
    </w:pPr>
    <w:rPr>
      <w:rFonts w:ascii="Calibri" w:hAnsi="Calibri"/>
      <w:sz w:val="18"/>
      <w:szCs w:val="18"/>
    </w:rPr>
  </w:style>
  <w:style w:type="paragraph" w:styleId="28">
    <w:name w:val="Normal (Web)"/>
    <w:basedOn w:val="1"/>
    <w:unhideWhenUsed/>
    <w:qFormat/>
    <w:uiPriority w:val="99"/>
    <w:pPr>
      <w:spacing w:before="100" w:beforeAutospacing="1" w:after="100" w:afterAutospacing="1"/>
      <w:jc w:val="left"/>
    </w:pPr>
    <w:rPr>
      <w:rFonts w:ascii="宋体" w:hAnsi="宋体" w:eastAsia="宋体"/>
    </w:rPr>
  </w:style>
  <w:style w:type="paragraph" w:styleId="29">
    <w:name w:val="annotation subject"/>
    <w:basedOn w:val="10"/>
    <w:next w:val="10"/>
    <w:link w:val="95"/>
    <w:semiHidden/>
    <w:unhideWhenUsed/>
    <w:qFormat/>
    <w:uiPriority w:val="99"/>
    <w:rPr>
      <w:b/>
      <w:bCs/>
    </w:rPr>
  </w:style>
  <w:style w:type="paragraph" w:styleId="30">
    <w:name w:val="Body Text First Indent"/>
    <w:basedOn w:val="11"/>
    <w:link w:val="98"/>
    <w:qFormat/>
    <w:uiPriority w:val="0"/>
    <w:pPr>
      <w:ind w:firstLine="420" w:firstLineChars="100"/>
    </w:pPr>
    <w:rPr>
      <w:rFonts w:eastAsia="宋体"/>
      <w:sz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endnote reference"/>
    <w:semiHidden/>
    <w:unhideWhenUsed/>
    <w:qFormat/>
    <w:uiPriority w:val="99"/>
    <w:rPr>
      <w:vertAlign w:val="superscript"/>
    </w:rPr>
  </w:style>
  <w:style w:type="character" w:styleId="36">
    <w:name w:val="page number"/>
    <w:basedOn w:val="33"/>
    <w:qFormat/>
    <w:uiPriority w:val="0"/>
  </w:style>
  <w:style w:type="character" w:styleId="37">
    <w:name w:val="FollowedHyperlink"/>
    <w:semiHidden/>
    <w:unhideWhenUsed/>
    <w:qFormat/>
    <w:uiPriority w:val="99"/>
    <w:rPr>
      <w:color w:val="800080"/>
      <w:u w:val="single"/>
    </w:rPr>
  </w:style>
  <w:style w:type="character" w:styleId="38">
    <w:name w:val="Hyperlink"/>
    <w:unhideWhenUsed/>
    <w:qFormat/>
    <w:uiPriority w:val="99"/>
    <w:rPr>
      <w:color w:val="0563C1"/>
      <w:u w:val="single"/>
    </w:rPr>
  </w:style>
  <w:style w:type="character" w:styleId="39">
    <w:name w:val="annotation reference"/>
    <w:semiHidden/>
    <w:unhideWhenUsed/>
    <w:qFormat/>
    <w:uiPriority w:val="99"/>
    <w:rPr>
      <w:sz w:val="21"/>
      <w:szCs w:val="21"/>
    </w:rPr>
  </w:style>
  <w:style w:type="paragraph" w:customStyle="1" w:styleId="40">
    <w:name w:val="列出段落1"/>
    <w:basedOn w:val="1"/>
    <w:qFormat/>
    <w:uiPriority w:val="34"/>
    <w:pPr>
      <w:ind w:firstLine="420"/>
    </w:pPr>
  </w:style>
  <w:style w:type="paragraph" w:customStyle="1" w:styleId="41">
    <w:name w:val="TOC 标题1"/>
    <w:basedOn w:val="2"/>
    <w:next w:val="1"/>
    <w:unhideWhenUsed/>
    <w:qFormat/>
    <w:uiPriority w:val="39"/>
    <w:pPr>
      <w:spacing w:before="240" w:line="259" w:lineRule="auto"/>
      <w:outlineLvl w:val="9"/>
    </w:pPr>
    <w:rPr>
      <w:rFonts w:ascii="Calibri Light" w:hAnsi="Calibri Light" w:eastAsia="宋体" w:cs="黑体"/>
      <w:b w:val="0"/>
      <w:bCs w:val="0"/>
      <w:color w:val="2D73B3"/>
      <w:kern w:val="0"/>
      <w:sz w:val="32"/>
      <w:szCs w:val="32"/>
    </w:rPr>
  </w:style>
  <w:style w:type="paragraph" w:customStyle="1" w:styleId="42">
    <w:name w:val="Table Paragraph"/>
    <w:basedOn w:val="1"/>
    <w:qFormat/>
    <w:uiPriority w:val="1"/>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TOC 标题2"/>
    <w:basedOn w:val="2"/>
    <w:next w:val="1"/>
    <w:unhideWhenUsed/>
    <w:qFormat/>
    <w:uiPriority w:val="39"/>
    <w:pPr>
      <w:spacing w:before="240" w:line="259" w:lineRule="auto"/>
      <w:outlineLvl w:val="9"/>
    </w:pPr>
    <w:rPr>
      <w:rFonts w:ascii="Calibri Light" w:hAnsi="Calibri Light" w:eastAsia="宋体" w:cs="黑体"/>
      <w:bCs w:val="0"/>
      <w:color w:val="2D73B3"/>
      <w:kern w:val="0"/>
      <w:sz w:val="32"/>
      <w:szCs w:val="32"/>
    </w:rPr>
  </w:style>
  <w:style w:type="paragraph" w:customStyle="1" w:styleId="46">
    <w:name w:val="msonormal"/>
    <w:basedOn w:val="1"/>
    <w:qFormat/>
    <w:uiPriority w:val="0"/>
    <w:pPr>
      <w:spacing w:before="100" w:beforeAutospacing="1" w:after="100" w:afterAutospacing="1" w:line="240" w:lineRule="auto"/>
      <w:ind w:firstLine="0" w:firstLineChars="0"/>
      <w:jc w:val="left"/>
    </w:pPr>
    <w:rPr>
      <w:rFonts w:ascii="宋体" w:hAnsi="宋体" w:eastAsia="宋体"/>
    </w:rPr>
  </w:style>
  <w:style w:type="paragraph" w:customStyle="1" w:styleId="47">
    <w:name w:val="font0"/>
    <w:basedOn w:val="1"/>
    <w:qFormat/>
    <w:uiPriority w:val="0"/>
    <w:pPr>
      <w:spacing w:before="100" w:beforeAutospacing="1" w:after="100" w:afterAutospacing="1" w:line="240" w:lineRule="auto"/>
      <w:ind w:firstLine="0" w:firstLineChars="0"/>
      <w:jc w:val="left"/>
    </w:pPr>
    <w:rPr>
      <w:rFonts w:ascii="宋体" w:hAnsi="宋体" w:eastAsia="宋体"/>
      <w:color w:val="000000"/>
      <w:sz w:val="22"/>
      <w:szCs w:val="22"/>
    </w:rPr>
  </w:style>
  <w:style w:type="paragraph" w:customStyle="1" w:styleId="48">
    <w:name w:val="font5"/>
    <w:basedOn w:val="1"/>
    <w:qFormat/>
    <w:uiPriority w:val="0"/>
    <w:pPr>
      <w:spacing w:before="100" w:beforeAutospacing="1" w:after="100" w:afterAutospacing="1" w:line="240" w:lineRule="auto"/>
      <w:ind w:firstLine="0" w:firstLineChars="0"/>
      <w:jc w:val="left"/>
    </w:pPr>
    <w:rPr>
      <w:rFonts w:ascii="宋体" w:hAnsi="宋体" w:eastAsia="宋体"/>
      <w:sz w:val="22"/>
      <w:szCs w:val="22"/>
    </w:rPr>
  </w:style>
  <w:style w:type="paragraph" w:customStyle="1" w:styleId="49">
    <w:name w:val="font6"/>
    <w:basedOn w:val="1"/>
    <w:qFormat/>
    <w:uiPriority w:val="0"/>
    <w:pPr>
      <w:spacing w:before="100" w:beforeAutospacing="1" w:after="100" w:afterAutospacing="1" w:line="240" w:lineRule="auto"/>
      <w:ind w:firstLine="0" w:firstLineChars="0"/>
      <w:jc w:val="left"/>
    </w:pPr>
    <w:rPr>
      <w:rFonts w:ascii="Times New Roman" w:hAnsi="Times New Roman" w:eastAsia="宋体"/>
      <w:color w:val="000000"/>
      <w:sz w:val="22"/>
      <w:szCs w:val="22"/>
    </w:rPr>
  </w:style>
  <w:style w:type="paragraph" w:customStyle="1" w:styleId="50">
    <w:name w:val="font7"/>
    <w:basedOn w:val="1"/>
    <w:qFormat/>
    <w:uiPriority w:val="0"/>
    <w:pPr>
      <w:spacing w:before="100" w:beforeAutospacing="1" w:after="100" w:afterAutospacing="1" w:line="240" w:lineRule="auto"/>
      <w:ind w:firstLine="0" w:firstLineChars="0"/>
      <w:jc w:val="left"/>
    </w:pPr>
    <w:rPr>
      <w:rFonts w:ascii="Times New Roman" w:hAnsi="Times New Roman" w:eastAsia="宋体"/>
      <w:sz w:val="22"/>
      <w:szCs w:val="22"/>
    </w:rPr>
  </w:style>
  <w:style w:type="paragraph" w:customStyle="1" w:styleId="51">
    <w:name w:val="font8"/>
    <w:basedOn w:val="1"/>
    <w:qFormat/>
    <w:uiPriority w:val="0"/>
    <w:pPr>
      <w:spacing w:before="100" w:beforeAutospacing="1" w:after="100" w:afterAutospacing="1" w:line="240" w:lineRule="auto"/>
      <w:ind w:firstLine="0" w:firstLineChars="0"/>
      <w:jc w:val="left"/>
    </w:pPr>
    <w:rPr>
      <w:rFonts w:ascii="宋体" w:hAnsi="宋体" w:eastAsia="宋体"/>
      <w:sz w:val="18"/>
      <w:szCs w:val="18"/>
    </w:rPr>
  </w:style>
  <w:style w:type="paragraph" w:customStyle="1" w:styleId="5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b/>
      <w:bCs/>
    </w:rPr>
  </w:style>
  <w:style w:type="paragraph" w:customStyle="1" w:styleId="5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5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5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56">
    <w:name w:val="xl94"/>
    <w:basedOn w:val="1"/>
    <w:qFormat/>
    <w:uiPriority w:val="0"/>
    <w:pPr>
      <w:spacing w:before="100" w:beforeAutospacing="1" w:after="100" w:afterAutospacing="1" w:line="240" w:lineRule="auto"/>
      <w:ind w:firstLine="0" w:firstLineChars="0"/>
      <w:jc w:val="left"/>
    </w:pPr>
    <w:rPr>
      <w:rFonts w:ascii="宋体" w:hAnsi="宋体" w:eastAsia="宋体"/>
      <w:b/>
      <w:bCs/>
    </w:rPr>
  </w:style>
  <w:style w:type="paragraph" w:customStyle="1" w:styleId="57">
    <w:name w:val="xl95"/>
    <w:basedOn w:val="1"/>
    <w:qFormat/>
    <w:uiPriority w:val="0"/>
    <w:pPr>
      <w:spacing w:before="100" w:beforeAutospacing="1" w:after="100" w:afterAutospacing="1" w:line="240" w:lineRule="auto"/>
      <w:ind w:firstLine="0" w:firstLineChars="0"/>
      <w:jc w:val="left"/>
    </w:pPr>
    <w:rPr>
      <w:rFonts w:ascii="宋体" w:hAnsi="宋体" w:eastAsia="宋体"/>
    </w:rPr>
  </w:style>
  <w:style w:type="paragraph" w:customStyle="1" w:styleId="58">
    <w:name w:val="xl96"/>
    <w:basedOn w:val="1"/>
    <w:qFormat/>
    <w:uiPriority w:val="0"/>
    <w:pPr>
      <w:spacing w:before="100" w:beforeAutospacing="1" w:after="100" w:afterAutospacing="1" w:line="240" w:lineRule="auto"/>
      <w:ind w:firstLine="0" w:firstLineChars="0"/>
      <w:jc w:val="left"/>
    </w:pPr>
    <w:rPr>
      <w:rFonts w:ascii="宋体" w:hAnsi="宋体" w:eastAsia="宋体"/>
    </w:rPr>
  </w:style>
  <w:style w:type="paragraph" w:customStyle="1" w:styleId="59">
    <w:name w:val="xl97"/>
    <w:basedOn w:val="1"/>
    <w:qFormat/>
    <w:uiPriority w:val="0"/>
    <w:pPr>
      <w:spacing w:before="100" w:beforeAutospacing="1" w:after="100" w:afterAutospacing="1" w:line="240" w:lineRule="auto"/>
      <w:ind w:firstLine="0" w:firstLineChars="0"/>
      <w:jc w:val="center"/>
    </w:pPr>
    <w:rPr>
      <w:rFonts w:ascii="宋体" w:hAnsi="宋体" w:eastAsia="宋体"/>
    </w:rPr>
  </w:style>
  <w:style w:type="paragraph" w:customStyle="1" w:styleId="60">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b/>
      <w:bCs/>
    </w:rPr>
  </w:style>
  <w:style w:type="paragraph" w:customStyle="1" w:styleId="61">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62">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6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6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6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66">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6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6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69">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7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72">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rPr>
  </w:style>
  <w:style w:type="paragraph" w:customStyle="1" w:styleId="7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74">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eastAsia="宋体"/>
    </w:rPr>
  </w:style>
  <w:style w:type="paragraph" w:customStyle="1" w:styleId="7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76">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rPr>
  </w:style>
  <w:style w:type="paragraph" w:customStyle="1" w:styleId="77">
    <w:name w:val="xl115"/>
    <w:basedOn w:val="1"/>
    <w:qFormat/>
    <w:uiPriority w:val="0"/>
    <w:pPr>
      <w:spacing w:before="100" w:beforeAutospacing="1" w:after="100" w:afterAutospacing="1" w:line="240" w:lineRule="auto"/>
      <w:ind w:firstLine="0" w:firstLineChars="0"/>
      <w:jc w:val="center"/>
    </w:pPr>
    <w:rPr>
      <w:rFonts w:ascii="宋体" w:hAnsi="宋体" w:eastAsia="宋体"/>
      <w:b/>
      <w:bCs/>
    </w:rPr>
  </w:style>
  <w:style w:type="paragraph" w:customStyle="1" w:styleId="78">
    <w:name w:val="段"/>
    <w:link w:val="10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79">
    <w:name w:val="样式 (西文) Times New Roman 黑色 段前: 5 磅 段后: 5 磅 行距: 单倍行距 首行缩进:  ..."/>
    <w:basedOn w:val="1"/>
    <w:qFormat/>
    <w:uiPriority w:val="0"/>
    <w:pPr>
      <w:snapToGrid w:val="0"/>
      <w:spacing w:line="360" w:lineRule="auto"/>
      <w:ind w:firstLine="200"/>
    </w:pPr>
    <w:rPr>
      <w:rFonts w:ascii="宋体" w:hAnsi="宋体"/>
      <w:b/>
      <w:sz w:val="28"/>
      <w:szCs w:val="28"/>
    </w:rPr>
  </w:style>
  <w:style w:type="paragraph" w:customStyle="1" w:styleId="80">
    <w:name w:val="zw"/>
    <w:basedOn w:val="1"/>
    <w:qFormat/>
    <w:uiPriority w:val="0"/>
    <w:pPr>
      <w:widowControl/>
      <w:spacing w:before="100" w:beforeAutospacing="1" w:after="100" w:afterAutospacing="1" w:line="440" w:lineRule="atLeast"/>
      <w:ind w:firstLine="200"/>
      <w:jc w:val="left"/>
    </w:pPr>
    <w:rPr>
      <w:rFonts w:ascii="宋体" w:hAnsi="宋体" w:cs="宋体"/>
      <w:kern w:val="0"/>
      <w:sz w:val="22"/>
      <w:szCs w:val="22"/>
    </w:rPr>
  </w:style>
  <w:style w:type="paragraph" w:customStyle="1" w:styleId="81">
    <w:name w:val="报告正文"/>
    <w:basedOn w:val="1"/>
    <w:link w:val="103"/>
    <w:qFormat/>
    <w:uiPriority w:val="0"/>
    <w:pPr>
      <w:adjustRightInd w:val="0"/>
      <w:snapToGrid w:val="0"/>
      <w:spacing w:line="312" w:lineRule="auto"/>
      <w:ind w:firstLine="200"/>
    </w:pPr>
    <w:rPr>
      <w:rFonts w:ascii="宋体" w:hAnsi="Times New Roman" w:eastAsia="宋体"/>
      <w:sz w:val="28"/>
      <w:szCs w:val="20"/>
    </w:rPr>
  </w:style>
  <w:style w:type="paragraph" w:customStyle="1" w:styleId="82">
    <w:name w:val="p0"/>
    <w:basedOn w:val="1"/>
    <w:qFormat/>
    <w:uiPriority w:val="0"/>
    <w:pPr>
      <w:widowControl/>
      <w:spacing w:before="100" w:beforeAutospacing="1" w:after="100" w:afterAutospacing="1"/>
      <w:ind w:firstLine="200"/>
      <w:jc w:val="left"/>
    </w:pPr>
    <w:rPr>
      <w:rFonts w:ascii="宋体" w:hAnsi="宋体" w:cs="宋体"/>
      <w:kern w:val="0"/>
      <w:sz w:val="24"/>
    </w:rPr>
  </w:style>
  <w:style w:type="paragraph" w:customStyle="1" w:styleId="83">
    <w:name w:val="普通(网站)1"/>
    <w:basedOn w:val="1"/>
    <w:qFormat/>
    <w:uiPriority w:val="0"/>
    <w:pPr>
      <w:widowControl/>
      <w:ind w:firstLine="200"/>
      <w:jc w:val="left"/>
    </w:pPr>
    <w:rPr>
      <w:rFonts w:hint="eastAsia" w:ascii="宋体" w:hAnsi="宋体" w:eastAsia="仿宋_GB2312"/>
      <w:color w:val="000000"/>
      <w:sz w:val="24"/>
    </w:rPr>
  </w:style>
  <w:style w:type="paragraph" w:customStyle="1" w:styleId="84">
    <w:name w:val="明显引用1"/>
    <w:basedOn w:val="1"/>
    <w:next w:val="1"/>
    <w:link w:val="112"/>
    <w:qFormat/>
    <w:uiPriority w:val="30"/>
    <w:pPr>
      <w:pBdr>
        <w:top w:val="single" w:color="5B9BD5" w:sz="4" w:space="10"/>
        <w:bottom w:val="single" w:color="5B9BD5" w:sz="4" w:space="10"/>
      </w:pBdr>
      <w:spacing w:before="360" w:after="360"/>
      <w:ind w:left="864" w:right="864" w:firstLine="200"/>
      <w:jc w:val="center"/>
    </w:pPr>
    <w:rPr>
      <w:rFonts w:ascii="Times New Roman" w:hAnsi="Times New Roman"/>
      <w:i/>
      <w:iCs/>
      <w:color w:val="5B9BD5"/>
    </w:rPr>
  </w:style>
  <w:style w:type="character" w:customStyle="1" w:styleId="85">
    <w:name w:val="标题 1 字符"/>
    <w:link w:val="2"/>
    <w:qFormat/>
    <w:uiPriority w:val="9"/>
    <w:rPr>
      <w:rFonts w:eastAsia="黑体"/>
      <w:b/>
      <w:bCs/>
      <w:kern w:val="44"/>
      <w:sz w:val="36"/>
      <w:szCs w:val="44"/>
    </w:rPr>
  </w:style>
  <w:style w:type="character" w:customStyle="1" w:styleId="86">
    <w:name w:val="标题 2 字符"/>
    <w:link w:val="3"/>
    <w:qFormat/>
    <w:uiPriority w:val="9"/>
    <w:rPr>
      <w:rFonts w:eastAsia="楷体"/>
      <w:b/>
      <w:bCs/>
      <w:kern w:val="2"/>
      <w:sz w:val="32"/>
      <w:szCs w:val="32"/>
    </w:rPr>
  </w:style>
  <w:style w:type="character" w:customStyle="1" w:styleId="87">
    <w:name w:val="标题 3 字符"/>
    <w:link w:val="4"/>
    <w:qFormat/>
    <w:uiPriority w:val="9"/>
    <w:rPr>
      <w:rFonts w:eastAsia="楷体"/>
      <w:bCs/>
      <w:kern w:val="2"/>
      <w:sz w:val="32"/>
      <w:szCs w:val="32"/>
    </w:rPr>
  </w:style>
  <w:style w:type="character" w:customStyle="1" w:styleId="88">
    <w:name w:val="标题 4 字符"/>
    <w:link w:val="5"/>
    <w:qFormat/>
    <w:uiPriority w:val="9"/>
    <w:rPr>
      <w:rFonts w:eastAsia="楷体"/>
      <w:bCs/>
      <w:kern w:val="2"/>
      <w:sz w:val="32"/>
      <w:szCs w:val="28"/>
    </w:rPr>
  </w:style>
  <w:style w:type="character" w:customStyle="1" w:styleId="89">
    <w:name w:val="文档结构图 字符"/>
    <w:link w:val="9"/>
    <w:semiHidden/>
    <w:qFormat/>
    <w:uiPriority w:val="99"/>
    <w:rPr>
      <w:rFonts w:ascii="宋体" w:hAnsi="微软雅黑" w:eastAsia="宋体" w:cs="宋体"/>
      <w:color w:val="040404"/>
      <w:sz w:val="18"/>
      <w:szCs w:val="18"/>
      <w:shd w:val="clear" w:color="auto" w:fill="FFFFFF"/>
    </w:rPr>
  </w:style>
  <w:style w:type="character" w:customStyle="1" w:styleId="90">
    <w:name w:val="批注框文本 字符"/>
    <w:link w:val="19"/>
    <w:semiHidden/>
    <w:qFormat/>
    <w:uiPriority w:val="99"/>
    <w:rPr>
      <w:rFonts w:ascii="微软雅黑" w:hAnsi="微软雅黑" w:eastAsia="微软雅黑" w:cs="宋体"/>
      <w:color w:val="040404"/>
      <w:kern w:val="0"/>
      <w:sz w:val="18"/>
      <w:szCs w:val="18"/>
      <w:shd w:val="clear" w:color="auto" w:fill="FFFFFF"/>
    </w:rPr>
  </w:style>
  <w:style w:type="character" w:customStyle="1" w:styleId="91">
    <w:name w:val="页脚 字符"/>
    <w:link w:val="20"/>
    <w:qFormat/>
    <w:uiPriority w:val="99"/>
    <w:rPr>
      <w:sz w:val="18"/>
      <w:szCs w:val="18"/>
    </w:rPr>
  </w:style>
  <w:style w:type="character" w:customStyle="1" w:styleId="92">
    <w:name w:val="页眉 字符"/>
    <w:link w:val="21"/>
    <w:qFormat/>
    <w:uiPriority w:val="99"/>
    <w:rPr>
      <w:sz w:val="18"/>
      <w:szCs w:val="18"/>
    </w:rPr>
  </w:style>
  <w:style w:type="character" w:customStyle="1" w:styleId="93">
    <w:name w:val="标题1"/>
    <w:basedOn w:val="33"/>
    <w:qFormat/>
    <w:uiPriority w:val="0"/>
  </w:style>
  <w:style w:type="character" w:customStyle="1" w:styleId="94">
    <w:name w:val="批注文字 字符"/>
    <w:link w:val="10"/>
    <w:semiHidden/>
    <w:qFormat/>
    <w:uiPriority w:val="99"/>
    <w:rPr>
      <w:rFonts w:ascii="微软雅黑" w:hAnsi="微软雅黑" w:eastAsia="微软雅黑" w:cs="宋体"/>
      <w:color w:val="040404"/>
      <w:sz w:val="24"/>
      <w:szCs w:val="21"/>
      <w:shd w:val="clear" w:color="auto" w:fill="FFFFFF"/>
    </w:rPr>
  </w:style>
  <w:style w:type="character" w:customStyle="1" w:styleId="95">
    <w:name w:val="批注主题 字符"/>
    <w:link w:val="29"/>
    <w:semiHidden/>
    <w:qFormat/>
    <w:uiPriority w:val="99"/>
    <w:rPr>
      <w:rFonts w:ascii="微软雅黑" w:hAnsi="微软雅黑" w:eastAsia="微软雅黑" w:cs="宋体"/>
      <w:b/>
      <w:bCs/>
      <w:color w:val="040404"/>
      <w:sz w:val="24"/>
      <w:szCs w:val="21"/>
      <w:shd w:val="clear" w:color="auto" w:fill="FFFFFF"/>
    </w:rPr>
  </w:style>
  <w:style w:type="character" w:customStyle="1" w:styleId="96">
    <w:name w:val="尾注文本 字符"/>
    <w:link w:val="18"/>
    <w:semiHidden/>
    <w:qFormat/>
    <w:uiPriority w:val="99"/>
    <w:rPr>
      <w:rFonts w:ascii="微软雅黑" w:hAnsi="微软雅黑" w:eastAsia="微软雅黑" w:cs="宋体"/>
      <w:color w:val="040404"/>
      <w:sz w:val="24"/>
      <w:szCs w:val="21"/>
      <w:shd w:val="clear" w:color="auto" w:fill="FFFFFF"/>
    </w:rPr>
  </w:style>
  <w:style w:type="character" w:customStyle="1" w:styleId="97">
    <w:name w:val="日期 字符"/>
    <w:link w:val="16"/>
    <w:qFormat/>
    <w:uiPriority w:val="0"/>
    <w:rPr>
      <w:rFonts w:eastAsia="仿宋"/>
      <w:kern w:val="2"/>
      <w:sz w:val="32"/>
      <w:szCs w:val="24"/>
    </w:rPr>
  </w:style>
  <w:style w:type="character" w:customStyle="1" w:styleId="98">
    <w:name w:val="正文首行缩进 字符1"/>
    <w:link w:val="30"/>
    <w:qFormat/>
    <w:uiPriority w:val="0"/>
    <w:rPr>
      <w:kern w:val="2"/>
      <w:sz w:val="21"/>
      <w:szCs w:val="24"/>
    </w:rPr>
  </w:style>
  <w:style w:type="character" w:customStyle="1" w:styleId="99">
    <w:name w:val="正文文本 字符"/>
    <w:link w:val="11"/>
    <w:qFormat/>
    <w:uiPriority w:val="0"/>
    <w:rPr>
      <w:rFonts w:eastAsia="仿宋"/>
      <w:kern w:val="2"/>
      <w:sz w:val="32"/>
      <w:szCs w:val="24"/>
    </w:rPr>
  </w:style>
  <w:style w:type="character" w:customStyle="1" w:styleId="100">
    <w:name w:val="正文首行缩进 字符"/>
    <w:semiHidden/>
    <w:qFormat/>
    <w:uiPriority w:val="99"/>
    <w:rPr>
      <w:rFonts w:eastAsia="仿宋"/>
      <w:kern w:val="2"/>
      <w:sz w:val="32"/>
      <w:szCs w:val="24"/>
    </w:rPr>
  </w:style>
  <w:style w:type="character" w:customStyle="1" w:styleId="101">
    <w:name w:val="段 Char"/>
    <w:link w:val="78"/>
    <w:qFormat/>
    <w:uiPriority w:val="0"/>
    <w:rPr>
      <w:rFonts w:ascii="宋体" w:eastAsia="Times New Roman"/>
      <w:sz w:val="21"/>
    </w:rPr>
  </w:style>
  <w:style w:type="character" w:customStyle="1" w:styleId="102">
    <w:name w:val="标题 2 Char"/>
    <w:qFormat/>
    <w:uiPriority w:val="99"/>
    <w:rPr>
      <w:rFonts w:eastAsia="楷体"/>
      <w:b/>
      <w:bCs/>
      <w:kern w:val="2"/>
      <w:sz w:val="32"/>
      <w:szCs w:val="32"/>
    </w:rPr>
  </w:style>
  <w:style w:type="character" w:customStyle="1" w:styleId="103">
    <w:name w:val="报告正文 Char"/>
    <w:link w:val="81"/>
    <w:qFormat/>
    <w:uiPriority w:val="0"/>
    <w:rPr>
      <w:rFonts w:ascii="宋体"/>
      <w:kern w:val="2"/>
      <w:sz w:val="28"/>
    </w:rPr>
  </w:style>
  <w:style w:type="character" w:customStyle="1" w:styleId="104">
    <w:name w:val="zw1"/>
    <w:qFormat/>
    <w:uiPriority w:val="0"/>
    <w:rPr>
      <w:rFonts w:hint="eastAsia" w:ascii="宋体" w:hAnsi="宋体" w:eastAsia="宋体"/>
      <w:sz w:val="22"/>
      <w:szCs w:val="22"/>
    </w:rPr>
  </w:style>
  <w:style w:type="character" w:customStyle="1" w:styleId="105">
    <w:name w:val="正文文本缩进 字符"/>
    <w:link w:val="12"/>
    <w:qFormat/>
    <w:uiPriority w:val="0"/>
    <w:rPr>
      <w:rFonts w:eastAsia="仿宋_GB2312"/>
      <w:kern w:val="2"/>
      <w:sz w:val="30"/>
      <w:szCs w:val="24"/>
    </w:rPr>
  </w:style>
  <w:style w:type="character" w:customStyle="1" w:styleId="106">
    <w:name w:val="正文文本缩进 2 字符"/>
    <w:link w:val="17"/>
    <w:qFormat/>
    <w:uiPriority w:val="0"/>
    <w:rPr>
      <w:rFonts w:eastAsia="仿宋_GB2312"/>
      <w:kern w:val="2"/>
      <w:sz w:val="30"/>
      <w:szCs w:val="24"/>
    </w:rPr>
  </w:style>
  <w:style w:type="character" w:customStyle="1" w:styleId="107">
    <w:name w:val="文档结构图 Char"/>
    <w:qFormat/>
    <w:uiPriority w:val="0"/>
    <w:rPr>
      <w:rFonts w:ascii="宋体"/>
      <w:kern w:val="2"/>
      <w:sz w:val="18"/>
      <w:szCs w:val="18"/>
    </w:rPr>
  </w:style>
  <w:style w:type="character" w:customStyle="1" w:styleId="108">
    <w:name w:val="标题 1 Char"/>
    <w:qFormat/>
    <w:uiPriority w:val="9"/>
    <w:rPr>
      <w:rFonts w:eastAsia="黑体"/>
      <w:b/>
      <w:bCs/>
      <w:kern w:val="44"/>
      <w:sz w:val="36"/>
      <w:szCs w:val="44"/>
    </w:rPr>
  </w:style>
  <w:style w:type="character" w:customStyle="1" w:styleId="109">
    <w:name w:val="页眉 Char"/>
    <w:qFormat/>
    <w:uiPriority w:val="0"/>
    <w:rPr>
      <w:kern w:val="2"/>
      <w:sz w:val="18"/>
      <w:szCs w:val="18"/>
    </w:rPr>
  </w:style>
  <w:style w:type="character" w:customStyle="1" w:styleId="110">
    <w:name w:val="style3"/>
    <w:basedOn w:val="33"/>
    <w:qFormat/>
    <w:uiPriority w:val="0"/>
  </w:style>
  <w:style w:type="character" w:customStyle="1" w:styleId="111">
    <w:name w:val="apple-converted-space"/>
    <w:basedOn w:val="33"/>
    <w:qFormat/>
    <w:uiPriority w:val="0"/>
  </w:style>
  <w:style w:type="character" w:customStyle="1" w:styleId="112">
    <w:name w:val="明显引用 字符"/>
    <w:link w:val="84"/>
    <w:qFormat/>
    <w:uiPriority w:val="30"/>
    <w:rPr>
      <w:rFonts w:eastAsia="仿宋"/>
      <w:i/>
      <w:iCs/>
      <w:color w:val="5B9BD5"/>
      <w:kern w:val="2"/>
      <w:sz w:val="32"/>
      <w:szCs w:val="24"/>
    </w:rPr>
  </w:style>
  <w:style w:type="paragraph" w:customStyle="1" w:styleId="113">
    <w:name w:val="正文1"/>
    <w:qFormat/>
    <w:uiPriority w:val="0"/>
    <w:pPr>
      <w:jc w:val="both"/>
    </w:pPr>
    <w:rPr>
      <w:rFonts w:ascii="Calibri" w:hAnsi="Calibri" w:eastAsia="宋体" w:cs="宋体"/>
      <w:kern w:val="2"/>
      <w:sz w:val="21"/>
      <w:szCs w:val="21"/>
      <w:lang w:val="en-US" w:eastAsia="zh-CN" w:bidi="ar-SA"/>
    </w:rPr>
  </w:style>
  <w:style w:type="paragraph" w:customStyle="1" w:styleId="11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5">
    <w:name w:val="Revision"/>
    <w:hidden/>
    <w:semiHidden/>
    <w:qFormat/>
    <w:uiPriority w:val="99"/>
    <w:rPr>
      <w:rFonts w:ascii="仿宋" w:hAnsi="仿宋" w:eastAsia="仿宋" w:cs="Times New Roman"/>
      <w:kern w:val="2"/>
      <w:sz w:val="32"/>
      <w:szCs w:val="24"/>
      <w:lang w:val="en-US" w:eastAsia="zh-CN" w:bidi="ar-SA"/>
    </w:rPr>
  </w:style>
  <w:style w:type="paragraph" w:customStyle="1" w:styleId="116">
    <w:name w:val="正文3"/>
    <w:qFormat/>
    <w:uiPriority w:val="0"/>
    <w:pPr>
      <w:jc w:val="both"/>
    </w:pPr>
    <w:rPr>
      <w:rFonts w:ascii="Times New Roman" w:hAnsi="Times New Roman" w:eastAsia="宋体" w:cs="Times New Roman"/>
      <w:kern w:val="2"/>
      <w:sz w:val="21"/>
      <w:szCs w:val="21"/>
      <w:lang w:val="en-US" w:eastAsia="zh-CN" w:bidi="ar-SA"/>
    </w:rPr>
  </w:style>
  <w:style w:type="paragraph" w:styleId="117">
    <w:name w:val="List Paragraph"/>
    <w:basedOn w:val="1"/>
    <w:qFormat/>
    <w:uiPriority w:val="34"/>
    <w:pPr>
      <w:ind w:firstLine="420"/>
    </w:pPr>
    <w:rPr>
      <w:rFonts w:ascii="宋体" w:hAnsi="宋体"/>
    </w:rPr>
  </w:style>
  <w:style w:type="table" w:customStyle="1" w:styleId="118">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19">
    <w:name w:val="标题行"/>
    <w:basedOn w:val="24"/>
    <w:next w:val="24"/>
    <w:qFormat/>
    <w:uiPriority w:val="0"/>
    <w:pPr>
      <w:shd w:val="clear" w:color="auto" w:fill="FFFF66"/>
      <w:jc w:val="center"/>
    </w:pPr>
    <w:rPr>
      <w:kern w:val="0"/>
    </w:rPr>
  </w:style>
  <w:style w:type="character" w:customStyle="1" w:styleId="120">
    <w:name w:val="正文缩进 字符"/>
    <w:link w:val="7"/>
    <w:qFormat/>
    <w:uiPriority w:val="0"/>
    <w:rPr>
      <w:kern w:val="2"/>
      <w:sz w:val="28"/>
      <w:szCs w:val="24"/>
    </w:rPr>
  </w:style>
  <w:style w:type="character" w:customStyle="1" w:styleId="121">
    <w:name w:val="font6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8"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CNOOC</Company>
  <Pages>207</Pages>
  <Words>13361</Words>
  <Characters>76164</Characters>
  <Lines>634</Lines>
  <Paragraphs>178</Paragraphs>
  <TotalTime>13</TotalTime>
  <ScaleCrop>false</ScaleCrop>
  <LinksUpToDate>false</LinksUpToDate>
  <CharactersWithSpaces>89347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2020-04-07T22:04:00Z</dcterms:created>
  <dc:creator>zy</dc:creator>
  <cp:lastModifiedBy>Administrator</cp:lastModifiedBy>
  <cp:lastPrinted>2022-01-25T09:35:46Z</cp:lastPrinted>
  <dcterms:modified xsi:type="dcterms:W3CDTF">2022-01-25T09:37:58Z</dcterms:modified>
  <dc:title>海南省生产安全事故灾难应急预案</dc:title>
  <cp:revision>1344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7C47316612A6432D8D7C136F16BFDF0A</vt:lpwstr>
  </property>
</Properties>
</file>